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80"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Narrativas de pertencimento e saberes matemáticos de estudantes do Proeja na perspectiva da Educação Matemática Inclusiva</w:t>
      </w:r>
    </w:p>
    <w:p w:rsidR="00000000" w:rsidDel="00000000" w:rsidP="00000000" w:rsidRDefault="00000000" w:rsidRPr="00000000" w14:paraId="00000002">
      <w:pPr>
        <w:spacing w:after="480"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Narratives of belonging and mathematical knowledge of Proeja students from the perspective of Inclusive Mathematics Education</w:t>
      </w:r>
    </w:p>
    <w:p w:rsidR="00000000" w:rsidDel="00000000" w:rsidP="00000000" w:rsidRDefault="00000000" w:rsidRPr="00000000" w14:paraId="00000003">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Prof.ª Maria Eugênia Zorzal Saldanha</w:t>
      </w:r>
      <w:r w:rsidDel="00000000" w:rsidR="00000000" w:rsidRPr="00000000">
        <w:rPr>
          <w:rFonts w:ascii="Arial" w:cs="Arial" w:eastAsia="Arial" w:hAnsi="Arial"/>
          <w:color w:val="000000"/>
          <w:vertAlign w:val="superscript"/>
        </w:rPr>
        <w:footnoteReference w:customMarkFollows="0" w:id="0"/>
      </w:r>
      <w:r w:rsidDel="00000000" w:rsidR="00000000" w:rsidRPr="00000000">
        <w:rPr>
          <w:rtl w:val="0"/>
        </w:rPr>
      </w:r>
    </w:p>
    <w:p w:rsidR="00000000" w:rsidDel="00000000" w:rsidP="00000000" w:rsidRDefault="00000000" w:rsidRPr="00000000" w14:paraId="00000004">
      <w:pPr>
        <w:spacing w:after="0" w:line="240"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Prof. Dr. Janivaldo Pacheco Cordeiro</w:t>
      </w:r>
      <w:r w:rsidDel="00000000" w:rsidR="00000000" w:rsidRPr="00000000">
        <w:rPr>
          <w:rFonts w:ascii="Arial" w:cs="Arial" w:eastAsia="Arial" w:hAnsi="Arial"/>
          <w:color w:val="000000"/>
          <w:vertAlign w:val="superscript"/>
        </w:rPr>
        <w:footnoteReference w:customMarkFollows="0" w:id="1"/>
      </w:r>
      <w:r w:rsidDel="00000000" w:rsidR="00000000" w:rsidRPr="00000000">
        <w:rPr>
          <w:rtl w:val="0"/>
        </w:rPr>
      </w:r>
    </w:p>
    <w:p w:rsidR="00000000" w:rsidDel="00000000" w:rsidP="00000000" w:rsidRDefault="00000000" w:rsidRPr="00000000" w14:paraId="00000005">
      <w:pPr>
        <w:spacing w:after="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Resumo</w:t>
      </w:r>
      <w:r w:rsidDel="00000000" w:rsidR="00000000" w:rsidRPr="00000000">
        <w:rPr>
          <w:rFonts w:ascii="Arial" w:cs="Arial" w:eastAsia="Arial" w:hAnsi="Arial"/>
          <w:b w:val="1"/>
          <w:bCs w:val="1"/>
          <w:sz w:val="20"/>
          <w:szCs w:val="20"/>
          <w:rtl w:val="0"/>
        </w:rPr>
        <w:t xml:space="preserve"> do trabalho: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Educação Matemática Inclusiva, no contexto do Programa Nacional de Integração da Educação Profissional e da Educação Básica na modalidade de Educação de Jovens e Adultos (Proeja), constitui um campo relevante de reflexão acerca das experiências formativas de estudantes trabalhadores que retornam à escola após longos períodos afastados da escolarização. Nesse contexto, esta pesquisa busca responder à seguinte questão: De que maneira os saberes matemáticos mobilizados por estudantes do Proeja em suas experiências de vida e trabalho se relacionam com processos de pertencimento e permanência no espaço escolar? A pesquisa possui natureza qualitativa e foi desenvolvida a partir de diálogos iniciais com estudantes de turmas do Proeja, utilizando um questionário como estratégia metodológica para compreender trajetórias de vida, formação e trabalho de sujeitos que retomam o processo de escolarização após experiências marcadas por interrupções escolares. As narrativas indicam a presença de saberes matemáticos construídos em contextos extraescolares e revelam sentimentos de não pertencimento no espaço educativo e às dificuldades percebidas em relação à matemática escolar. Os resultados apontam que práticas pedagógicas que valorizam os saberes prévios dos estudantes e dialogam com suas experiências de vida contribuem para fortalecer o sentimento de pertencimento e ampliar as possibilidades de aprendizagem em matemática.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Palavras-chave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sz w:val="20"/>
          <w:szCs w:val="20"/>
          <w:rtl w:val="0"/>
        </w:rPr>
        <w:t xml:space="preserve">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ducação </w:t>
      </w:r>
      <w:r w:rsidDel="00000000" w:rsidR="00000000" w:rsidRPr="00000000">
        <w:rPr>
          <w:rFonts w:ascii="Arial" w:cs="Arial" w:eastAsia="Arial" w:hAnsi="Arial"/>
          <w:sz w:val="20"/>
          <w:szCs w:val="20"/>
          <w:rtl w:val="0"/>
        </w:rPr>
        <w:t xml:space="preserve">m</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atemática </w:t>
      </w:r>
      <w:r w:rsidDel="00000000" w:rsidR="00000000" w:rsidRPr="00000000">
        <w:rPr>
          <w:rFonts w:ascii="Arial" w:cs="Arial" w:eastAsia="Arial" w:hAnsi="Arial"/>
          <w:sz w:val="20"/>
          <w:szCs w:val="20"/>
          <w:rtl w:val="0"/>
        </w:rPr>
        <w:t xml:space="preserve">i</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nclusiva; </w:t>
      </w:r>
      <w:r w:rsidDel="00000000" w:rsidR="00000000" w:rsidRPr="00000000">
        <w:rPr>
          <w:rFonts w:ascii="Arial" w:cs="Arial" w:eastAsia="Arial" w:hAnsi="Arial"/>
          <w:sz w:val="20"/>
          <w:szCs w:val="20"/>
          <w:rtl w:val="0"/>
        </w:rPr>
        <w:t xml:space="preserve">p</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roeja; </w:t>
      </w:r>
      <w:r w:rsidDel="00000000" w:rsidR="00000000" w:rsidRPr="00000000">
        <w:rPr>
          <w:rFonts w:ascii="Arial" w:cs="Arial" w:eastAsia="Arial" w:hAnsi="Arial"/>
          <w:sz w:val="20"/>
          <w:szCs w:val="20"/>
          <w:rtl w:val="0"/>
        </w:rPr>
        <w:t xml:space="preserve">p</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ertencimento; </w:t>
      </w:r>
      <w:r w:rsidDel="00000000" w:rsidR="00000000" w:rsidRPr="00000000">
        <w:rPr>
          <w:rFonts w:ascii="Arial" w:cs="Arial" w:eastAsia="Arial" w:hAnsi="Arial"/>
          <w:sz w:val="20"/>
          <w:szCs w:val="20"/>
          <w:rtl w:val="0"/>
        </w:rPr>
        <w:t xml:space="preserve">narrativas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sz w:val="20"/>
          <w:szCs w:val="20"/>
          <w:rtl w:val="0"/>
        </w:rPr>
        <w:t xml:space="preserv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aberes </w:t>
      </w:r>
      <w:r w:rsidDel="00000000" w:rsidR="00000000" w:rsidRPr="00000000">
        <w:rPr>
          <w:rFonts w:ascii="Arial" w:cs="Arial" w:eastAsia="Arial" w:hAnsi="Arial"/>
          <w:sz w:val="20"/>
          <w:szCs w:val="20"/>
          <w:rtl w:val="0"/>
        </w:rPr>
        <w:t xml:space="preserve">do cotidiano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8">
      <w:pPr>
        <w:pStyle w:val="Heading1"/>
        <w:spacing w:after="0" w:before="0" w:lineRule="auto"/>
        <w:rPr/>
      </w:pPr>
      <w:r w:rsidDel="00000000" w:rsidR="00000000" w:rsidRPr="00000000">
        <w:rPr>
          <w:rFonts w:ascii="Arial" w:cs="Arial" w:eastAsia="Arial" w:hAnsi="Arial"/>
          <w:color w:val="000000"/>
          <w:sz w:val="20"/>
          <w:szCs w:val="20"/>
          <w:rtl w:val="0"/>
        </w:rPr>
        <w:t xml:space="preserve">Abstract</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Inclusive Mathematics Education, within the context of the National Program for the Integration of Professional Education and Basic Education in the modality of Youth and Adult Education (Proeja), constitutes a relevant field of reflection on the formative experiences of working students who return to school after long periods away from schooling. In this context, this research seeks to answer the following question: How do the mathematical knowledge mobilized by Proeja students in their life and work experiences relate to processes of belonging and permanence in the school environment? The research is qualitative in nature and was developed from initial dialogues with students from Proeja classes, using a questionnaire as a methodological strategy to understand the life trajectories, training, and work of individuals who resume the schooling process after experiences marked by school interruptions. The narratives indicate the presence of mathematical knowledge constructed in extracurricular contexts and reveal feelings of non-belonging in the educational space, frequently associated with the long period away from school and the perceived difficulties in relation to school mathematics. The results indicate that pedagogical practices that value students' prior knowledge and engage with their life experiences contribute to strengthening their sense of belonging and expanding learning possibilities in mathematics.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Keywords: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Inclusive Mathematics Education; Proeja; belonging; narratives; everyday knowledge.</w:t>
      </w:r>
      <w:r w:rsidDel="00000000" w:rsidR="00000000" w:rsidRPr="00000000">
        <w:rPr>
          <w:rtl w:val="0"/>
        </w:rPr>
      </w:r>
    </w:p>
    <w:p w:rsidR="00000000" w:rsidDel="00000000" w:rsidP="00000000" w:rsidRDefault="00000000" w:rsidRPr="00000000" w14:paraId="0000000C">
      <w:pPr>
        <w:spacing w:after="0" w:before="240" w:line="36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1 Introdução</w:t>
      </w:r>
    </w:p>
    <w:p w:rsidR="00000000" w:rsidDel="00000000" w:rsidP="00000000" w:rsidRDefault="00000000" w:rsidRPr="00000000" w14:paraId="0000000D">
      <w:pPr>
        <w:spacing w:after="0" w:lineRule="auto"/>
        <w:ind w:left="0"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A história da educação brasileira é marcada por profundas desigualdades em relação ao acesso estudantil e sua permanência na escola. Ao longo do tempo, diferentes grupos sociais tiveram seus percursos educacionais interrompidos ou inviabilizados por fatores como condições socioeconômicas desfavoráveis, inserção precoce no mundo do trabalho, desigualdades regionais e processos históricos de exclusão social </w:t>
      </w:r>
      <w:r w:rsidDel="00000000" w:rsidR="00000000" w:rsidRPr="00000000">
        <w:rPr>
          <w:rFonts w:ascii="Arial" w:cs="Arial" w:eastAsia="Arial" w:hAnsi="Arial"/>
          <w:color w:val="000000"/>
          <w:highlight w:val="white"/>
          <w:rtl w:val="0"/>
        </w:rPr>
        <w:t xml:space="preserve">(Frigotto, 2010).</w:t>
      </w:r>
      <w:r w:rsidDel="00000000" w:rsidR="00000000" w:rsidRPr="00000000">
        <w:rPr>
          <w:rFonts w:ascii="Arial" w:cs="Arial" w:eastAsia="Arial" w:hAnsi="Arial"/>
          <w:color w:val="000000"/>
          <w:rtl w:val="0"/>
        </w:rPr>
        <w:t xml:space="preserve">Nesse contexto, a Educação de Jovens e Adultos (EJA) configura-se como uma importante política pública voltada à garantia do direito à educação para sujeitos que não tiveram acesso ou continuidade de estudos em idade considerada regular. No interior dessa modalidade, destaca-se o Programa Nacional de Integração da Educação Profissional com a Educação Básica na modalidade de Educação de Jovens e Adultos (Proeja), como o do Instituto Federal do Espírito Santo (Ifes), que busca articular formação geral e formação profissional.</w:t>
      </w:r>
    </w:p>
    <w:p w:rsidR="00000000" w:rsidDel="00000000" w:rsidP="00000000" w:rsidRDefault="00000000" w:rsidRPr="00000000" w14:paraId="0000000E">
      <w:pPr>
        <w:ind w:left="0"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O Proeja representa, portanto, uma tentativa de superar a histórica fragmentação entre educação básica e educação profissional, oferecendo oportunidades de escolarização e qualificação para estudantes, muitos deles já inseridos no mercado de trabalho, em nível médio e profissionalizante, em uma rede federal de ensino, tendo por ideais educação gratuita e de qualidade.</w:t>
      </w:r>
    </w:p>
    <w:p w:rsidR="00000000" w:rsidDel="00000000" w:rsidP="00000000" w:rsidRDefault="00000000" w:rsidRPr="00000000" w14:paraId="0000000F">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Apesar da oferta dessa qualificação, o retorno à escola não ocorre sem tensões. Muitos estudantes chegam às salas de aula trazendo consigo experiências marcadas por fracasso escolar, estigmatização e exclusão. Essas vivências produzem marcas profundas na forma como os sujeitos se relacionam com o conhecimento e com o espaço escolar.</w:t>
      </w:r>
    </w:p>
    <w:p w:rsidR="00000000" w:rsidDel="00000000" w:rsidP="00000000" w:rsidRDefault="00000000" w:rsidRPr="00000000" w14:paraId="00000010">
      <w:pPr>
        <w:ind w:firstLine="708.6614173228347"/>
        <w:rPr>
          <w:rFonts w:ascii="Arial" w:cs="Arial" w:eastAsia="Arial" w:hAnsi="Arial"/>
          <w:color w:val="000000"/>
          <w:highlight w:val="white"/>
        </w:rPr>
      </w:pPr>
      <w:r w:rsidDel="00000000" w:rsidR="00000000" w:rsidRPr="00000000">
        <w:rPr>
          <w:rFonts w:ascii="Arial" w:cs="Arial" w:eastAsia="Arial" w:hAnsi="Arial"/>
          <w:color w:val="000000"/>
          <w:rtl w:val="0"/>
        </w:rPr>
        <w:t xml:space="preserve">No ensino de matemática, tais tensões tornam-se particularmente evidentes. Historicamente associada a processos de seleção e exclusão, a matemática aparece frequentemente nas narrativas dos estudantes como um campo de dificuldades, medo e distanciamento</w:t>
      </w:r>
      <w:r w:rsidDel="00000000" w:rsidR="00000000" w:rsidRPr="00000000">
        <w:rPr>
          <w:rFonts w:ascii="Arial" w:cs="Arial" w:eastAsia="Arial" w:hAnsi="Arial"/>
          <w:color w:val="000000"/>
          <w:highlight w:val="white"/>
          <w:rtl w:val="0"/>
        </w:rPr>
        <w:t xml:space="preserve"> (Skovsmose, 2007). </w:t>
      </w:r>
    </w:p>
    <w:p w:rsidR="00000000" w:rsidDel="00000000" w:rsidP="00000000" w:rsidRDefault="00000000" w:rsidRPr="00000000" w14:paraId="00000011">
      <w:pPr>
        <w:ind w:firstLine="708.6614173228347"/>
        <w:rPr>
          <w:rFonts w:ascii="Arial" w:cs="Arial" w:eastAsia="Arial" w:hAnsi="Arial"/>
        </w:rPr>
      </w:pPr>
      <w:r w:rsidDel="00000000" w:rsidR="00000000" w:rsidRPr="00000000">
        <w:rPr>
          <w:rFonts w:ascii="Arial" w:cs="Arial" w:eastAsia="Arial" w:hAnsi="Arial"/>
          <w:rtl w:val="0"/>
        </w:rPr>
        <w:t xml:space="preserve">Paradoxalmente, esses mesmos sujeitos utilizam conhecimentos matemáticos em diferentes práticas de seu cotidiano e de seu trabalho: nas atividades profissionais, no comércio informal, na organização da vida doméstica e em diversas outras situações, a matemática está presente de forma constante.</w:t>
      </w:r>
    </w:p>
    <w:p w:rsidR="00000000" w:rsidDel="00000000" w:rsidP="00000000" w:rsidRDefault="00000000" w:rsidRPr="00000000" w14:paraId="00000012">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Diante desse cenário, este estudo busca responder à seguinte questão de pesquisa:</w:t>
      </w:r>
      <w:r w:rsidDel="00000000" w:rsidR="00000000" w:rsidRPr="00000000">
        <w:rPr>
          <w:rFonts w:ascii="Arial" w:cs="Arial" w:eastAsia="Arial" w:hAnsi="Arial"/>
          <w:rtl w:val="0"/>
        </w:rPr>
        <w:t xml:space="preserve"> de que maneira os saberes matemáticos mobilizados por estudantes do Proeja em suas experiências de vida e trabalho se relacionam com processos de pertencimento e permanência no espaço escolar? Este trabalho faz parte de uma pesquisa de mestrado em andamento e integra o projeto de pesquisa </w:t>
      </w:r>
      <w:r w:rsidDel="00000000" w:rsidR="00000000" w:rsidRPr="00000000">
        <w:rPr>
          <w:rFonts w:ascii="Arial" w:cs="Arial" w:eastAsia="Arial" w:hAnsi="Arial"/>
          <w:i w:val="1"/>
          <w:iCs w:val="1"/>
          <w:rtl w:val="0"/>
        </w:rPr>
        <w:t xml:space="preserve">Decolonialidade, Interseccionalidade, Sexualidades, Práticas Antirracistas e outras Encruzilhadas com a/na Matemática</w:t>
      </w:r>
      <w:r w:rsidDel="00000000" w:rsidR="00000000" w:rsidRPr="00000000">
        <w:rPr>
          <w:rFonts w:ascii="Arial" w:cs="Arial" w:eastAsia="Arial" w:hAnsi="Arial"/>
          <w:rtl w:val="0"/>
        </w:rPr>
        <w:t xml:space="preserve">, desenvolvido pelo Grupo de Pesquisa </w:t>
      </w:r>
      <w:r w:rsidDel="00000000" w:rsidR="00000000" w:rsidRPr="00000000">
        <w:rPr>
          <w:rFonts w:ascii="Arial" w:cs="Arial" w:eastAsia="Arial" w:hAnsi="Arial"/>
          <w:b w:val="0"/>
          <w:bCs w:val="0"/>
          <w:rtl w:val="0"/>
        </w:rPr>
        <w:t xml:space="preserve">Devires (Educação Matemática, Diferença e Inclusão)</w:t>
      </w:r>
      <w:r w:rsidDel="00000000" w:rsidR="00000000" w:rsidRPr="00000000">
        <w:rPr>
          <w:rFonts w:ascii="Arial" w:cs="Arial" w:eastAsia="Arial" w:hAnsi="Arial"/>
          <w:b w:val="1"/>
          <w:bCs w:val="1"/>
          <w:rtl w:val="0"/>
        </w:rPr>
        <w:t xml:space="preserve">.</w:t>
      </w:r>
      <w:r w:rsidDel="00000000" w:rsidR="00000000" w:rsidRPr="00000000">
        <w:rPr>
          <w:rtl w:val="0"/>
        </w:rPr>
      </w:r>
    </w:p>
    <w:p w:rsidR="00000000" w:rsidDel="00000000" w:rsidP="00000000" w:rsidRDefault="00000000" w:rsidRPr="00000000" w14:paraId="00000013">
      <w:pPr>
        <w:ind w:firstLine="708.6614173228347"/>
        <w:rPr>
          <w:rFonts w:ascii="Arial" w:cs="Arial" w:eastAsia="Arial" w:hAnsi="Arial"/>
        </w:rPr>
      </w:pPr>
      <w:r w:rsidDel="00000000" w:rsidR="00000000" w:rsidRPr="00000000">
        <w:rPr>
          <w:rFonts w:ascii="Arial" w:cs="Arial" w:eastAsia="Arial" w:hAnsi="Arial"/>
          <w:color w:val="000000"/>
          <w:rtl w:val="0"/>
        </w:rPr>
        <w:t xml:space="preserve">Assim, o objetivo</w:t>
      </w:r>
      <w:r w:rsidDel="00000000" w:rsidR="00000000" w:rsidRPr="00000000">
        <w:rPr>
          <w:rFonts w:ascii="Arial" w:cs="Arial" w:eastAsia="Arial" w:hAnsi="Arial"/>
          <w:rtl w:val="0"/>
        </w:rPr>
        <w:t xml:space="preserve"> deste estudo é compreender</w:t>
      </w:r>
      <w:r w:rsidDel="00000000" w:rsidR="00000000" w:rsidRPr="00000000">
        <w:rPr>
          <w:rFonts w:ascii="Arial" w:cs="Arial" w:eastAsia="Arial" w:hAnsi="Arial"/>
          <w:color w:val="000000"/>
          <w:rtl w:val="0"/>
        </w:rPr>
        <w:t xml:space="preserve"> como estudantes trabalhadores mobilizam saberes matemáticos construídos em suas experiências de vida e trabalho, analisando de que maneira esses saberes se relacionam com processos de pertencimento e permanência no espaço escolar. </w:t>
      </w:r>
      <w:r w:rsidDel="00000000" w:rsidR="00000000" w:rsidRPr="00000000">
        <w:rPr>
          <w:rFonts w:ascii="Arial" w:cs="Arial" w:eastAsia="Arial" w:hAnsi="Arial"/>
          <w:rtl w:val="0"/>
        </w:rPr>
        <w:t xml:space="preserve">Nesse sentido, o estudo insere-se no campo das pesquisas em Educação Matemática que buscam compreender as relações entre saberes do cotidiano, processos de escolarização e experiências de pertencimento de estudantes da Educação de Jovens e Adultos.</w:t>
      </w:r>
    </w:p>
    <w:p w:rsidR="00000000" w:rsidDel="00000000" w:rsidP="00000000" w:rsidRDefault="00000000" w:rsidRPr="00000000" w14:paraId="00000014">
      <w:pPr>
        <w:ind w:firstLine="708.6614173228347"/>
        <w:rPr>
          <w:rFonts w:ascii="Arial" w:cs="Arial" w:eastAsia="Arial" w:hAnsi="Arial"/>
        </w:rPr>
      </w:pPr>
      <w:r w:rsidDel="00000000" w:rsidR="00000000" w:rsidRPr="00000000">
        <w:rPr>
          <w:rFonts w:ascii="Arial" w:cs="Arial" w:eastAsia="Arial" w:hAnsi="Arial"/>
          <w:color w:val="000000"/>
          <w:highlight w:val="white"/>
          <w:rtl w:val="0"/>
        </w:rPr>
        <w:t xml:space="preserve">Para aprofundar essa discussão, torna-se necessário refletir sobre os fundamentos teóricos que articulam Educação Matemática Inclusiva, </w:t>
      </w:r>
      <w:r w:rsidDel="00000000" w:rsidR="00000000" w:rsidRPr="00000000">
        <w:rPr>
          <w:rFonts w:ascii="Arial" w:cs="Arial" w:eastAsia="Arial" w:hAnsi="Arial"/>
          <w:highlight w:val="white"/>
          <w:rtl w:val="0"/>
        </w:rPr>
        <w:t xml:space="preserve">pertencimento</w:t>
      </w:r>
      <w:r w:rsidDel="00000000" w:rsidR="00000000" w:rsidRPr="00000000">
        <w:rPr>
          <w:rFonts w:ascii="Arial" w:cs="Arial" w:eastAsia="Arial" w:hAnsi="Arial"/>
          <w:color w:val="000000"/>
          <w:highlight w:val="white"/>
          <w:rtl w:val="0"/>
        </w:rPr>
        <w:t xml:space="preserve"> e educação de jovens e adultos no contexto do Proeja, aspectos que orientam a análise desenvolvida na seção a seguir.</w:t>
      </w:r>
      <w:r w:rsidDel="00000000" w:rsidR="00000000" w:rsidRPr="00000000">
        <w:rPr>
          <w:rFonts w:ascii="Arial" w:cs="Arial" w:eastAsia="Arial" w:hAnsi="Arial"/>
          <w:rtl w:val="0"/>
        </w:rPr>
        <w:t xml:space="preserve"> </w:t>
      </w:r>
    </w:p>
    <w:p w:rsidR="00000000" w:rsidDel="00000000" w:rsidP="00000000" w:rsidRDefault="00000000" w:rsidRPr="00000000" w14:paraId="00000015">
      <w:pPr>
        <w:ind w:firstLine="300"/>
        <w:rPr>
          <w:rFonts w:ascii="Arial" w:cs="Arial" w:eastAsia="Arial" w:hAnsi="Arial"/>
        </w:rPr>
      </w:pPr>
      <w:r w:rsidDel="00000000" w:rsidR="00000000" w:rsidRPr="00000000">
        <w:rPr>
          <w:rtl w:val="0"/>
        </w:rPr>
      </w:r>
    </w:p>
    <w:p w:rsidR="00000000" w:rsidDel="00000000" w:rsidP="00000000" w:rsidRDefault="00000000" w:rsidRPr="00000000" w14:paraId="00000016">
      <w:pPr>
        <w:rPr>
          <w:rFonts w:ascii="Arial" w:cs="Arial" w:eastAsia="Arial" w:hAnsi="Arial"/>
          <w:b w:val="1"/>
          <w:bCs w:val="1"/>
          <w:color w:val="000000"/>
        </w:rPr>
      </w:pPr>
      <w:r w:rsidDel="00000000" w:rsidR="00000000" w:rsidRPr="00000000">
        <w:rPr>
          <w:rFonts w:ascii="Arial" w:cs="Arial" w:eastAsia="Arial" w:hAnsi="Arial"/>
          <w:b w:val="1"/>
          <w:bCs w:val="1"/>
          <w:rtl w:val="0"/>
        </w:rPr>
        <w:t xml:space="preserve">2 </w:t>
      </w:r>
      <w:r w:rsidDel="00000000" w:rsidR="00000000" w:rsidRPr="00000000">
        <w:rPr>
          <w:rFonts w:ascii="Arial" w:cs="Arial" w:eastAsia="Arial" w:hAnsi="Arial"/>
          <w:b w:val="1"/>
          <w:bCs w:val="1"/>
          <w:color w:val="000000"/>
          <w:rtl w:val="0"/>
        </w:rPr>
        <w:t xml:space="preserve">Educação Matemática Inclusiva e pertencimento no Proeja</w:t>
      </w:r>
    </w:p>
    <w:p w:rsidR="00000000" w:rsidDel="00000000" w:rsidP="00000000" w:rsidRDefault="00000000" w:rsidRPr="00000000" w14:paraId="00000017">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A Educação Matemática Inclusiva constitui um campo de reflexão que busca problematizar as formas pelas quais o ensino da matemática pode reconhecer a diversidade de sujeitos presentes nas salas de aula e promover condições efetivas de participação e aprendizagem.</w:t>
      </w:r>
    </w:p>
    <w:p w:rsidR="00000000" w:rsidDel="00000000" w:rsidP="00000000" w:rsidRDefault="00000000" w:rsidRPr="00000000" w14:paraId="00000018">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Segundo Maria Teresa Eglér Mantoan (2015), a inclusão educacional implica a superação de modelos escolares baseados na homogeneização dos estudantes e na lógica da seleção. Para a autora, a escola inclusiva deve reconhecer que as diferenças fazem parte do processo educativo e constituem elementos fundamentais na construção das aprendizagens.</w:t>
      </w:r>
    </w:p>
    <w:p w:rsidR="00000000" w:rsidDel="00000000" w:rsidP="00000000" w:rsidRDefault="00000000" w:rsidRPr="00000000" w14:paraId="00000019">
      <w:pPr>
        <w:ind w:firstLine="708.6614173228347"/>
        <w:rPr>
          <w:rFonts w:ascii="Arial" w:cs="Arial" w:eastAsia="Arial" w:hAnsi="Arial"/>
        </w:rPr>
      </w:pPr>
      <w:r w:rsidDel="00000000" w:rsidR="00000000" w:rsidRPr="00000000">
        <w:rPr>
          <w:rFonts w:ascii="Arial" w:cs="Arial" w:eastAsia="Arial" w:hAnsi="Arial"/>
          <w:color w:val="000000"/>
          <w:rtl w:val="0"/>
        </w:rPr>
        <w:t xml:space="preserve">No campo da Educação Matemática, a perspectiva crítica proposta por Ole Skovsmose (2001) destaca que a matemática não pode ser compreendida apenas como um conjunto de procedimentos técnicos e abstratos. Ao contrário, trata-se de um conhecimento profundamente relacionado às práticas sociais, às condições históricas e às experiências vividas pelos sujeitos. Nessa perspectiva, ensinar matemática implica considerar os contextos sociais em que os estudantes vivem, bem como suas experiências culturais e profissionais.</w:t>
      </w:r>
      <w:r w:rsidDel="00000000" w:rsidR="00000000" w:rsidRPr="00000000">
        <w:rPr>
          <w:rFonts w:ascii="Arial" w:cs="Arial" w:eastAsia="Arial" w:hAnsi="Arial"/>
          <w:rtl w:val="0"/>
        </w:rPr>
        <w:t xml:space="preserve"> </w:t>
      </w:r>
    </w:p>
    <w:p w:rsidR="00000000" w:rsidDel="00000000" w:rsidP="00000000" w:rsidRDefault="00000000" w:rsidRPr="00000000" w14:paraId="0000001A">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As contribuições de Paulo Freire (2011; 2014) também oferecem importantes referências para pensar o ensino na Educação de Jovens e Adultos. Para o autor, o processo educativo deve partir da realidade dos sujeitos e de suas leituras de mundo, valorizando os saberes construídos ao longo da vida.</w:t>
      </w:r>
    </w:p>
    <w:p w:rsidR="00000000" w:rsidDel="00000000" w:rsidP="00000000" w:rsidRDefault="00000000" w:rsidRPr="00000000" w14:paraId="0000001B">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A perspectiva da Etnomatemática desenvolvida por Ubiratan D'Ambrosio (2005) reforça essa compreensão ao destacar que diferentes grupos sociais produzem e utilizam conhecimentos matemáticos em suas práticas culturais e profissionais. Segundo o autor, a matemática não se restringe ao conhecimento formal escolar, mas se manifesta em diversas formas de raciocínio presentes nas atividades humanas.</w:t>
      </w:r>
    </w:p>
    <w:p w:rsidR="00000000" w:rsidDel="00000000" w:rsidP="00000000" w:rsidRDefault="00000000" w:rsidRPr="00000000" w14:paraId="0000001C">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As contribuições de Mantoan (2015), Skovsmose (2001), Freire (2011; 2014) e D’Ambrosio (2005) permitem compreender que o ensino de matemática, em uma perspectiva inclusiva, no contexto do Proeja, deve reconhecer esses saberes produzidos nas práticas sociais e profissionais dos estudantes, tornando-se fundamental para fortalecer o sentimento de pertencimento dos estudantes ao espaço escolar.</w:t>
      </w:r>
    </w:p>
    <w:p w:rsidR="00000000" w:rsidDel="00000000" w:rsidP="00000000" w:rsidRDefault="00000000" w:rsidRPr="00000000" w14:paraId="0000001D">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Na seção seguinte, aprofunda-se essa discussão, focalizando a relação entre educação profissional, trabalho e saberes cotidianos, eixo central para compreender as experiências dos estudantes do Proeja. </w:t>
      </w:r>
    </w:p>
    <w:p w:rsidR="00000000" w:rsidDel="00000000" w:rsidP="00000000" w:rsidRDefault="00000000" w:rsidRPr="00000000" w14:paraId="0000001E">
      <w:pPr>
        <w:ind w:firstLine="300"/>
        <w:rPr>
          <w:rFonts w:ascii="Arial" w:cs="Arial" w:eastAsia="Arial" w:hAnsi="Arial"/>
          <w:color w:val="000000"/>
        </w:rPr>
      </w:pPr>
      <w:r w:rsidDel="00000000" w:rsidR="00000000" w:rsidRPr="00000000">
        <w:rPr>
          <w:rtl w:val="0"/>
        </w:rPr>
      </w:r>
    </w:p>
    <w:p w:rsidR="00000000" w:rsidDel="00000000" w:rsidP="00000000" w:rsidRDefault="00000000" w:rsidRPr="00000000" w14:paraId="0000001F">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3 Educação profissional, trabalho e saberes do cotidiano</w:t>
      </w:r>
    </w:p>
    <w:p w:rsidR="00000000" w:rsidDel="00000000" w:rsidP="00000000" w:rsidRDefault="00000000" w:rsidRPr="00000000" w14:paraId="00000020">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A relação entre educação e trabalho constitui um elemento central nas discussões sobre o Proeja. Pesquisadores como Gaudêncio Frigotto (2005) e Marise Ramos (2008) destacam que a educação profissional integrada deve superar a histórica separação entre formação geral e formação técnica.</w:t>
      </w:r>
    </w:p>
    <w:p w:rsidR="00000000" w:rsidDel="00000000" w:rsidP="00000000" w:rsidRDefault="00000000" w:rsidRPr="00000000" w14:paraId="00000021">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No cotidiano das atividades profissionais, os trabalhadores mobilizam diferentes formas de raciocínio matemático, como cálculos mentais, estimativas, medições e estratégias de resolução de problemas. Pesquisas desenvolvidas por Maria da Conceição Fonseca</w:t>
      </w:r>
      <w:r w:rsidDel="00000000" w:rsidR="00000000" w:rsidRPr="00000000">
        <w:rPr>
          <w:rFonts w:ascii="Arial" w:cs="Arial" w:eastAsia="Arial" w:hAnsi="Arial"/>
          <w:color w:val="000000"/>
          <w:highlight w:val="white"/>
          <w:rtl w:val="0"/>
        </w:rPr>
        <w:t xml:space="preserve"> (2012) </w:t>
      </w:r>
      <w:r w:rsidDel="00000000" w:rsidR="00000000" w:rsidRPr="00000000">
        <w:rPr>
          <w:rFonts w:ascii="Arial" w:cs="Arial" w:eastAsia="Arial" w:hAnsi="Arial"/>
          <w:color w:val="000000"/>
          <w:rtl w:val="0"/>
        </w:rPr>
        <w:t xml:space="preserve">indicam que estudantes da Educação de Jovens e Adultos mobilizam conhecimentos matemáticos construídos em práticas sociais e profissionais ao longo de suas trajetórias.</w:t>
      </w:r>
    </w:p>
    <w:p w:rsidR="00000000" w:rsidDel="00000000" w:rsidP="00000000" w:rsidRDefault="00000000" w:rsidRPr="00000000" w14:paraId="00000022">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Entretanto, esses saberes permanecem invisibilizados no espaço escolar, onde a matemática tende a ser apresentada de forma descontextualizada. Reconhecer esses conhecimentos constitui um passo fundamental para aproximar a matemática escolar da realidade dos estudantes.</w:t>
      </w:r>
    </w:p>
    <w:p w:rsidR="00000000" w:rsidDel="00000000" w:rsidP="00000000" w:rsidRDefault="00000000" w:rsidRPr="00000000" w14:paraId="00000023">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Com o intuito de compreender como esses saberes são construídos e significados nas trajetórias de vida dos estudantes, a investigação insere-se no campo das pesquisas qualitativas em educação e adota a abordagem com narrativas como perspectiva metodológica.</w:t>
      </w:r>
    </w:p>
    <w:p w:rsidR="00000000" w:rsidDel="00000000" w:rsidP="00000000" w:rsidRDefault="00000000" w:rsidRPr="00000000" w14:paraId="00000024">
      <w:pPr>
        <w:ind w:firstLine="708.6614173228347"/>
        <w:rPr>
          <w:rFonts w:ascii="Arial" w:cs="Arial" w:eastAsia="Arial" w:hAnsi="Arial"/>
          <w:color w:val="000000"/>
          <w:highlight w:val="white"/>
        </w:rPr>
      </w:pPr>
      <w:r w:rsidDel="00000000" w:rsidR="00000000" w:rsidRPr="00000000">
        <w:rPr>
          <w:rFonts w:ascii="Arial" w:cs="Arial" w:eastAsia="Arial" w:hAnsi="Arial"/>
          <w:color w:val="000000"/>
          <w:rtl w:val="0"/>
        </w:rPr>
        <w:t xml:space="preserve">Nesse contexto, buscamos compreender as experiências humanas a partir das histórias contadas pelos próprios sujeitos. Nesse tipo de investigação, as narrativas são compreendidas como formas de produção de sentido sobre as experiências vividas </w:t>
      </w:r>
      <w:r w:rsidDel="00000000" w:rsidR="00000000" w:rsidRPr="00000000">
        <w:rPr>
          <w:rFonts w:ascii="Arial" w:cs="Arial" w:eastAsia="Arial" w:hAnsi="Arial"/>
          <w:color w:val="000000"/>
          <w:highlight w:val="white"/>
          <w:rtl w:val="0"/>
        </w:rPr>
        <w:t xml:space="preserve">(Clandinin; Connelly, 2015).</w:t>
      </w:r>
    </w:p>
    <w:p w:rsidR="00000000" w:rsidDel="00000000" w:rsidP="00000000" w:rsidRDefault="00000000" w:rsidRPr="00000000" w14:paraId="00000025">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Participaram d</w:t>
      </w:r>
      <w:r w:rsidDel="00000000" w:rsidR="00000000" w:rsidRPr="00000000">
        <w:rPr>
          <w:rFonts w:ascii="Arial" w:cs="Arial" w:eastAsia="Arial" w:hAnsi="Arial"/>
          <w:rtl w:val="0"/>
        </w:rPr>
        <w:t xml:space="preserve">a pesquisa estudantes de turmas do Proeja do Instituto Federal do Espírito Santo (Ifes – Campus Vitória) cujas trajetórias escolares são marcadas por interrupções e retorno tardio à escolarização.</w:t>
      </w:r>
      <w:r w:rsidDel="00000000" w:rsidR="00000000" w:rsidRPr="00000000">
        <w:rPr>
          <w:rtl w:val="0"/>
        </w:rPr>
      </w:r>
    </w:p>
    <w:p w:rsidR="00000000" w:rsidDel="00000000" w:rsidP="00000000" w:rsidRDefault="00000000" w:rsidRPr="00000000" w14:paraId="00000026">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A coleta de dados foi realizada por meio de um questionário impresso, no qual os estudantes foram convidados a compartilhar suas histórias de vida, suas experiências escolares e suas relações com a matemática. Essa abordagem permite compreender as itinerâncias das vidas dos participantes — suas trajetórias de formação, trabalho e experiências pessoais — evidenciando os processos de construção de identidade no espaço escolar.</w:t>
      </w:r>
    </w:p>
    <w:p w:rsidR="00000000" w:rsidDel="00000000" w:rsidP="00000000" w:rsidRDefault="00000000" w:rsidRPr="00000000" w14:paraId="00000027">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A partir desse percurso metodológico, apresentam-se, na seção seguinte, as narrativas produzidas pelos estudantes e as análises desenvolvidas em torno de seus saberes matemáticos e experiências de pertencimento no Proeja. </w:t>
      </w:r>
    </w:p>
    <w:p w:rsidR="00000000" w:rsidDel="00000000" w:rsidP="00000000" w:rsidRDefault="00000000" w:rsidRPr="00000000" w14:paraId="00000028">
      <w:pPr>
        <w:ind w:firstLine="300"/>
        <w:rPr>
          <w:rFonts w:ascii="Arial" w:cs="Arial" w:eastAsia="Arial" w:hAnsi="Arial"/>
          <w:color w:val="000000"/>
        </w:rPr>
      </w:pPr>
      <w:r w:rsidDel="00000000" w:rsidR="00000000" w:rsidRPr="00000000">
        <w:rPr>
          <w:rtl w:val="0"/>
        </w:rPr>
      </w:r>
    </w:p>
    <w:p w:rsidR="00000000" w:rsidDel="00000000" w:rsidP="00000000" w:rsidRDefault="00000000" w:rsidRPr="00000000" w14:paraId="00000029">
      <w:pP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A">
      <w:pP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B">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4 Apresentação e discussão dos dados</w:t>
      </w:r>
    </w:p>
    <w:p w:rsidR="00000000" w:rsidDel="00000000" w:rsidP="00000000" w:rsidRDefault="00000000" w:rsidRPr="00000000" w14:paraId="0000002C">
      <w:pPr>
        <w:ind w:firstLine="708.6614173228347"/>
        <w:rPr>
          <w:rFonts w:ascii="Arial" w:cs="Arial" w:eastAsia="Arial" w:hAnsi="Arial"/>
          <w:color w:val="000000"/>
        </w:rPr>
      </w:pPr>
      <w:r w:rsidDel="00000000" w:rsidR="00000000" w:rsidRPr="00000000">
        <w:rPr>
          <w:rFonts w:ascii="Arial" w:cs="Arial" w:eastAsia="Arial" w:hAnsi="Arial"/>
          <w:rtl w:val="0"/>
        </w:rPr>
        <w:t xml:space="preserve">As narrativas analisadas foram produzidas por meio de um questionário impresso respondido em sala de aula, complementado por momentos de diálogo com as turmas.</w:t>
      </w:r>
      <w:r w:rsidDel="00000000" w:rsidR="00000000" w:rsidRPr="00000000">
        <w:rPr>
          <w:rFonts w:ascii="Arial" w:cs="Arial" w:eastAsia="Arial" w:hAnsi="Arial"/>
          <w:color w:val="000000"/>
          <w:rtl w:val="0"/>
        </w:rPr>
        <w:t xml:space="preserve"> Tais dados permitem iluminar modos de mobilização de saberes matemáticos e processos de pertencimento e vinculação no espaço escolar. </w:t>
      </w:r>
    </w:p>
    <w:p w:rsidR="00000000" w:rsidDel="00000000" w:rsidP="00000000" w:rsidRDefault="00000000" w:rsidRPr="00000000" w14:paraId="0000002D">
      <w:pPr>
        <w:pStyle w:val="Heading1"/>
        <w:spacing w:after="0" w:befor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4.1 Saberes matemáticos do cotidiano e do trabalho </w:t>
      </w:r>
    </w:p>
    <w:p w:rsidR="00000000" w:rsidDel="00000000" w:rsidP="00000000" w:rsidRDefault="00000000" w:rsidRPr="00000000" w14:paraId="0000002E">
      <w:pPr>
        <w:ind w:firstLine="708.6614173228347"/>
        <w:rPr>
          <w:rFonts w:ascii="Arial" w:cs="Arial" w:eastAsia="Arial" w:hAnsi="Arial"/>
        </w:rPr>
      </w:pPr>
      <w:r w:rsidDel="00000000" w:rsidR="00000000" w:rsidRPr="00000000">
        <w:rPr>
          <w:rFonts w:ascii="Arial" w:cs="Arial" w:eastAsia="Arial" w:hAnsi="Arial"/>
          <w:color w:val="000000"/>
          <w:rtl w:val="0"/>
        </w:rPr>
        <w:t xml:space="preserve">Os relatos evidenciam que a matemática se faz presente em diversas práticas sociais e profissionais vivenciadas ao longo de suas trajetórias de vida e trabalho, revelando conhecimentos construídos no cotidiano que, frequentemente, permanecem invisibilizados no contexto da matemática escolar. </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8.661417322834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Um dos estudantes (E1) relatou: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267.716535433071" w:right="0" w:firstLine="0"/>
        <w:jc w:val="both"/>
        <w:rPr>
          <w:rFonts w:ascii="Times New Roman" w:cs="Times New Roman" w:eastAsia="Times New Roman" w:hAnsi="Times New Roman"/>
          <w:b w:val="0"/>
          <w:b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smallCaps w:val="0"/>
          <w:strike w:val="0"/>
          <w:color w:val="000000"/>
          <w:sz w:val="20"/>
          <w:szCs w:val="20"/>
          <w:u w:val="none"/>
          <w:shd w:fill="auto" w:val="clear"/>
          <w:vertAlign w:val="baseline"/>
          <w:rtl w:val="0"/>
        </w:rPr>
        <w:t xml:space="preserve">“Eu trabalho na construção civil e sempre precisei fazer conta de material. </w:t>
      </w:r>
      <w:r w:rsidDel="00000000" w:rsidR="00000000" w:rsidRPr="00000000">
        <w:rPr>
          <w:rFonts w:ascii="Arial" w:cs="Arial" w:eastAsia="Arial" w:hAnsi="Arial"/>
          <w:sz w:val="20"/>
          <w:szCs w:val="20"/>
          <w:rtl w:val="0"/>
        </w:rPr>
        <w:t xml:space="preserve">P</w:t>
      </w:r>
      <w:r w:rsidDel="00000000" w:rsidR="00000000" w:rsidRPr="00000000">
        <w:rPr>
          <w:rFonts w:ascii="Arial" w:cs="Arial" w:eastAsia="Arial" w:hAnsi="Arial"/>
          <w:b w:val="0"/>
          <w:bCs w:val="0"/>
          <w:smallCaps w:val="0"/>
          <w:strike w:val="0"/>
          <w:color w:val="000000"/>
          <w:sz w:val="20"/>
          <w:szCs w:val="20"/>
          <w:u w:val="none"/>
          <w:shd w:fill="auto" w:val="clear"/>
          <w:vertAlign w:val="baseline"/>
          <w:rtl w:val="0"/>
        </w:rPr>
        <w:t xml:space="preserve">ara saber quantos sacos de cimento comprar ou dividir o serviço.”</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8.661417322834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Outro estudante (E2) destacou: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267.716535433071" w:right="0" w:firstLine="0"/>
        <w:jc w:val="both"/>
        <w:rPr>
          <w:rFonts w:ascii="Arial" w:cs="Arial" w:eastAsia="Arial" w:hAnsi="Arial"/>
          <w:b w:val="0"/>
          <w:b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smallCaps w:val="0"/>
          <w:strike w:val="0"/>
          <w:color w:val="000000"/>
          <w:sz w:val="20"/>
          <w:szCs w:val="20"/>
          <w:u w:val="none"/>
          <w:shd w:fill="auto" w:val="clear"/>
          <w:vertAlign w:val="baseline"/>
          <w:rtl w:val="0"/>
        </w:rPr>
        <w:t xml:space="preserve">“Quando eu vendia lanche na rua eu tinha que calcular o troco rápido e saber quanto estava ganhando.”</w:t>
      </w:r>
    </w:p>
    <w:p w:rsidR="00000000" w:rsidDel="00000000" w:rsidP="00000000" w:rsidRDefault="00000000" w:rsidRPr="00000000" w14:paraId="00000033">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Esses relatos evidenciam como práticas profissionais mobilizam conhecimentos matemáticos frequentemente desconsiderados pela matemática escolar. Tais experiências dialogam com a perspectiva da Etnomatemática, proposta por D’Ambrosio (2005), ao reconhecer que diferentes grupos sociais produzem e utilizam conhecimentos matemáticos em suas práticas culturais, sociais e profissionais, constituindo formas legítimas de saber que podem e devem ser consideradas nos processos educativos.</w:t>
      </w:r>
    </w:p>
    <w:p w:rsidR="00000000" w:rsidDel="00000000" w:rsidP="00000000" w:rsidRDefault="00000000" w:rsidRPr="00000000" w14:paraId="00000034">
      <w:pPr>
        <w:ind w:firstLine="300"/>
        <w:rPr>
          <w:rFonts w:ascii="Arial" w:cs="Arial" w:eastAsia="Arial" w:hAnsi="Arial"/>
          <w:color w:val="000000"/>
        </w:rPr>
      </w:pPr>
      <w:r w:rsidDel="00000000" w:rsidR="00000000" w:rsidRPr="00000000">
        <w:rPr>
          <w:rtl w:val="0"/>
        </w:rPr>
      </w:r>
    </w:p>
    <w:p w:rsidR="00000000" w:rsidDel="00000000" w:rsidP="00000000" w:rsidRDefault="00000000" w:rsidRPr="00000000" w14:paraId="00000035">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36">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37">
      <w:pPr>
        <w:rPr>
          <w:rFonts w:ascii="Arial" w:cs="Arial" w:eastAsia="Arial" w:hAnsi="Arial"/>
          <w:b w:val="1"/>
          <w:bCs w:val="1"/>
        </w:rPr>
      </w:pPr>
      <w:r w:rsidDel="00000000" w:rsidR="00000000" w:rsidRPr="00000000">
        <w:rPr>
          <w:rFonts w:ascii="Arial" w:cs="Arial" w:eastAsia="Arial" w:hAnsi="Arial"/>
          <w:b w:val="1"/>
          <w:bCs w:val="1"/>
          <w:rtl w:val="0"/>
        </w:rPr>
        <w:t xml:space="preserve">4.2 Processos de não pertencimento e construção do pertencimento no retorno à escolarização</w:t>
      </w:r>
    </w:p>
    <w:p w:rsidR="00000000" w:rsidDel="00000000" w:rsidP="00000000" w:rsidRDefault="00000000" w:rsidRPr="00000000" w14:paraId="00000038">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As narrativas também revelam experiências marcadas por sentimento de insegurança e distanciamento em relação ao ambiente escolar. Alguns </w:t>
      </w:r>
      <w:r w:rsidDel="00000000" w:rsidR="00000000" w:rsidRPr="00000000">
        <w:rPr>
          <w:rFonts w:ascii="Arial" w:cs="Arial" w:eastAsia="Arial" w:hAnsi="Arial"/>
          <w:rtl w:val="0"/>
        </w:rPr>
        <w:t xml:space="preserve">estudantes relatam que o longo período afastado da escola, aliado à percepção de dificuldades em matemática, contribui para a construção de um sentimento de não pertencimento.</w:t>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708.6614173228347"/>
        <w:jc w:val="both"/>
        <w:rPr>
          <w:rFonts w:ascii="Arial" w:cs="Arial" w:eastAsia="Arial" w:hAnsi="Arial"/>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estudante (E3) afirmou:</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267.71653543307"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“Não me sinto pertencido à escola. Às vezes a dificuldade faz a gente achar que não pertence.”</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8.6614173228347"/>
        <w:jc w:val="both"/>
        <w:rPr>
          <w:rFonts w:ascii="Arial" w:cs="Arial" w:eastAsia="Arial" w:hAnsi="Arial"/>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Outro estudante (E4) relatou:</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267.71653543307" w:right="0" w:firstLine="0"/>
        <w:jc w:val="both"/>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“Fiquei mais de trinta anos fora da sala de aula. Às vezes parece que estou fora de sintonia.”</w:t>
      </w:r>
    </w:p>
    <w:p w:rsidR="00000000" w:rsidDel="00000000" w:rsidP="00000000" w:rsidRDefault="00000000" w:rsidRPr="00000000" w14:paraId="0000003D">
      <w:pPr>
        <w:ind w:firstLine="708.6614173228347"/>
        <w:rPr>
          <w:rFonts w:ascii="Arial" w:cs="Arial" w:eastAsia="Arial" w:hAnsi="Arial"/>
          <w:color w:val="ee0000"/>
        </w:rPr>
      </w:pPr>
      <w:r w:rsidDel="00000000" w:rsidR="00000000" w:rsidRPr="00000000">
        <w:rPr>
          <w:rFonts w:ascii="Arial" w:cs="Arial" w:eastAsia="Arial" w:hAnsi="Arial"/>
          <w:rtl w:val="0"/>
        </w:rPr>
        <w:t xml:space="preserve">Em diferentes momentos de suas trajetórias educativas, essas experiências aparecem associadas à interrupção dos estudos e ao receio de não conseguir acompanhar as atividades propostas em sala de aula. Tais aspectos evidenciam processos de não pertencimento que atravessam a história escolar de muitos sujeitos da Educação de Jovens e Adultos, especialmente quando retornam à escola após longos períodos afastados do processo de escolarização. Nessa perspectiva, como destaca Cordeiro (2022, p. 183), atrelar a matemática, de forma crítica e humanizada, às experiências de vida dos sujeitos “[...] torna-se importante porque localiza o/a sujeito/a no mundo, cria pertencimentos, aponta falhas que contribuem para o desenvolvimento de políticas públicas e para o autoconhecimento”.</w:t>
      </w:r>
      <w:r w:rsidDel="00000000" w:rsidR="00000000" w:rsidRPr="00000000">
        <w:rPr>
          <w:rtl w:val="0"/>
        </w:rPr>
      </w:r>
    </w:p>
    <w:p w:rsidR="00000000" w:rsidDel="00000000" w:rsidP="00000000" w:rsidRDefault="00000000" w:rsidRPr="00000000" w14:paraId="0000003E">
      <w:pPr>
        <w:ind w:firstLine="708.6614173228347"/>
        <w:rPr>
          <w:rFonts w:ascii="Arial" w:cs="Arial" w:eastAsia="Arial" w:hAnsi="Arial"/>
        </w:rPr>
      </w:pPr>
      <w:r w:rsidDel="00000000" w:rsidR="00000000" w:rsidRPr="00000000">
        <w:rPr>
          <w:rFonts w:ascii="Arial" w:cs="Arial" w:eastAsia="Arial" w:hAnsi="Arial"/>
          <w:color w:val="000000"/>
          <w:rtl w:val="0"/>
        </w:rPr>
        <w:t xml:space="preserve">Quando suas experiências e saberes são reconhecidos, os estudantes passam a perceber a escola como um espaço de acolhimento e reconhecimento. Nesse processo, o sentimento de pertencimento desempenha um papel fundamental na permanência e no engajamento dos estudantes. </w:t>
      </w:r>
      <w:r w:rsidDel="00000000" w:rsidR="00000000" w:rsidRPr="00000000">
        <w:rPr>
          <w:rFonts w:ascii="Arial" w:cs="Arial" w:eastAsia="Arial" w:hAnsi="Arial"/>
          <w:rtl w:val="0"/>
        </w:rPr>
        <w:t xml:space="preserve">As análises produzidas a partir das narrativas indicam que práticas pedagógicas que valorizam os saberes prévios e as experiências de vida dos estudantes podem contribuir para fortalecer esse sentimento de pertencimento. </w:t>
      </w:r>
    </w:p>
    <w:p w:rsidR="00000000" w:rsidDel="00000000" w:rsidP="00000000" w:rsidRDefault="00000000" w:rsidRPr="00000000" w14:paraId="0000003F">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Entre as possibilidades destacam-se a problematização de situações relacionadas ao trabalho dos estudantes, a valorização das estratégias de cálculo utilizadas no cotidiano, o diálogo sobre experiências de vida e a construção coletiva do conhecimento. Essas dimensões contribuem para que o processo de ensino e aprendizagem da matemática se constitua de forma mais significativa, ao reconhecer os saberes prévios dos estudantes e promover a articulação entre conhecimentos escolares e experiências vividas em seus contextos sociais e profissionais.</w:t>
      </w:r>
    </w:p>
    <w:p w:rsidR="00000000" w:rsidDel="00000000" w:rsidP="00000000" w:rsidRDefault="00000000" w:rsidRPr="00000000" w14:paraId="00000040">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Nesse sentido, práticas pedagógicas que dialogam com a realidade dos estudantes podem contribuir para transformar a sala de aula em um espaço de reconhecimento de suas trajetórias, fortalecendo o sentimento de pertencimento e ampliando as possibilidades de participação no processo educativo. A partir dessas reflexões, apresentam-se, a seguir, as considerações finais do estudo, nas quais se sintetizam as principais implicações da pesquisa para o campo da Educação Matemática Inclusiva.</w:t>
      </w:r>
    </w:p>
    <w:p w:rsidR="00000000" w:rsidDel="00000000" w:rsidP="00000000" w:rsidRDefault="00000000" w:rsidRPr="00000000" w14:paraId="00000041">
      <w:pPr>
        <w:ind w:firstLine="300"/>
        <w:rPr>
          <w:rFonts w:ascii="Arial" w:cs="Arial" w:eastAsia="Arial" w:hAnsi="Arial"/>
          <w:color w:val="000000"/>
        </w:rPr>
      </w:pPr>
      <w:r w:rsidDel="00000000" w:rsidR="00000000" w:rsidRPr="00000000">
        <w:rPr>
          <w:rtl w:val="0"/>
        </w:rPr>
      </w:r>
    </w:p>
    <w:p w:rsidR="00000000" w:rsidDel="00000000" w:rsidP="00000000" w:rsidRDefault="00000000" w:rsidRPr="00000000" w14:paraId="00000042">
      <w:pPr>
        <w:ind w:firstLine="301"/>
        <w:rPr>
          <w:rFonts w:ascii="Arial" w:cs="Arial" w:eastAsia="Arial" w:hAnsi="Arial"/>
        </w:rPr>
      </w:pPr>
      <w:r w:rsidDel="00000000" w:rsidR="00000000" w:rsidRPr="00000000">
        <w:rPr>
          <w:rFonts w:ascii="Arial" w:cs="Arial" w:eastAsia="Arial" w:hAnsi="Arial"/>
          <w:b w:val="1"/>
          <w:bCs w:val="1"/>
          <w:color w:val="000000"/>
          <w:rtl w:val="0"/>
        </w:rPr>
        <w:t xml:space="preserve">5 Considerações finais</w:t>
      </w:r>
      <w:r w:rsidDel="00000000" w:rsidR="00000000" w:rsidRPr="00000000">
        <w:rPr>
          <w:rtl w:val="0"/>
        </w:rPr>
      </w:r>
    </w:p>
    <w:p w:rsidR="00000000" w:rsidDel="00000000" w:rsidP="00000000" w:rsidRDefault="00000000" w:rsidRPr="00000000" w14:paraId="00000043">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Este e</w:t>
      </w:r>
      <w:r w:rsidDel="00000000" w:rsidR="00000000" w:rsidRPr="00000000">
        <w:rPr>
          <w:rFonts w:ascii="Arial" w:cs="Arial" w:eastAsia="Arial" w:hAnsi="Arial"/>
          <w:rtl w:val="0"/>
        </w:rPr>
        <w:t xml:space="preserve">studo teve como objetivo compreender, no contexto da Educação Matemática Inclusiva e do Proeja, de que maneira os conhecimentos matemáticos construídos por estudantes trabalhadores em suas experiências de vida e trabalho se articulam com processos de pertencimento, permanência e aprendizagem no espaço escolar, a partir da análise de suas narrativas.</w:t>
      </w:r>
      <w:r w:rsidDel="00000000" w:rsidR="00000000" w:rsidRPr="00000000">
        <w:rPr>
          <w:rtl w:val="0"/>
        </w:rPr>
      </w:r>
    </w:p>
    <w:p w:rsidR="00000000" w:rsidDel="00000000" w:rsidP="00000000" w:rsidRDefault="00000000" w:rsidRPr="00000000" w14:paraId="00000044">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As narrativas evidenciam que os estudantes mobilizam conhecimentos matemáticos em diferentes práticas sociais e profissionais, revelando formas de raciocínio, cálculo e resolução de problemas desenvolvidas ao longo de suas trajetórias. Entretanto, tais saberes frequentemente permanecem pouco reconhecidos no contexto da matemática escolar, historicamente marcada por abordagens descontextualizadas e distantes das experiências dos sujeitos.</w:t>
      </w:r>
    </w:p>
    <w:p w:rsidR="00000000" w:rsidDel="00000000" w:rsidP="00000000" w:rsidRDefault="00000000" w:rsidRPr="00000000" w14:paraId="00000045">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Os resultados indicam que a valorização desses conhecimentos pode contribuir para fortalecer o sentimento de pertencimento dos estudantes no ambiente escolar. Quando suas experiências são consideradas no processo educativo, a escola passa a ser percebida como um espaço de diálogo, reconhecimento e construção coletiva do conhecimento, favorecendo maior envolvimento com a aprendizagem matemática.</w:t>
      </w:r>
    </w:p>
    <w:p w:rsidR="00000000" w:rsidDel="00000000" w:rsidP="00000000" w:rsidRDefault="00000000" w:rsidRPr="00000000" w14:paraId="00000046">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Nesse sentido, as reflexões apresentadas apontam para a importância de práticas pedagógicas que considerem as trajetórias e experiências dos estudantes, em diálogo com perspectivas da Educação Matemática Inclusiva e da Etnomatemática. Ao reconhecer os conhecimentos produzidos no cotidiano e no mundo do trabalho, ampliam-se as possibilidades de construção de processos educativos mais sensíveis à diversidade de experiências presentes no contexto do Proeja.</w:t>
      </w:r>
    </w:p>
    <w:p w:rsidR="00000000" w:rsidDel="00000000" w:rsidP="00000000" w:rsidRDefault="00000000" w:rsidRPr="00000000" w14:paraId="00000047">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Como implicação para a prática pedagógica, destaca-se a necessidade de que o ensino de matemática considere os saberes e as vivências dos estudantes trabalhadores como pontos de partida para a construção do conhecimento, favorecendo aprendizagens mais significativas e socialmente contextualizadas.</w:t>
      </w:r>
    </w:p>
    <w:p w:rsidR="00000000" w:rsidDel="00000000" w:rsidP="00000000" w:rsidRDefault="00000000" w:rsidRPr="00000000" w14:paraId="00000048">
      <w:pPr>
        <w:ind w:firstLine="708.6614173228347"/>
        <w:rPr>
          <w:rFonts w:ascii="Arial" w:cs="Arial" w:eastAsia="Arial" w:hAnsi="Arial"/>
          <w:color w:val="000000"/>
        </w:rPr>
      </w:pPr>
      <w:r w:rsidDel="00000000" w:rsidR="00000000" w:rsidRPr="00000000">
        <w:rPr>
          <w:rFonts w:ascii="Arial" w:cs="Arial" w:eastAsia="Arial" w:hAnsi="Arial"/>
          <w:color w:val="000000"/>
          <w:rtl w:val="0"/>
        </w:rPr>
        <w:t xml:space="preserve">Assim, reconhecer os saberes e trajetórias dos estudantes no ensino de matemática constitui não apenas uma estratégia pedagógica, mas também um compromisso ético com a construção de uma educação mais inclusiva, democrática e socialmente justa. </w:t>
      </w:r>
    </w:p>
    <w:p w:rsidR="00000000" w:rsidDel="00000000" w:rsidP="00000000" w:rsidRDefault="00000000" w:rsidRPr="00000000" w14:paraId="00000049">
      <w:pPr>
        <w:ind w:firstLine="708.6614173228347"/>
        <w:rPr>
          <w:rFonts w:ascii="Arial" w:cs="Arial" w:eastAsia="Arial" w:hAnsi="Arial"/>
        </w:rPr>
      </w:pPr>
      <w:r w:rsidDel="00000000" w:rsidR="00000000" w:rsidRPr="00000000">
        <w:rPr>
          <w:rFonts w:ascii="Arial" w:cs="Arial" w:eastAsia="Arial" w:hAnsi="Arial"/>
          <w:rtl w:val="0"/>
        </w:rPr>
        <w:t xml:space="preserve">Nesse horizonte, reconhecer as narrativas, os saberes e as experiências dos estudantes do Proeja no ensino de matemática significam também afirmar a escola como espaço de escuta, diálogo e produção de sentidos, no qual aprender matemática pode constituir-se como experiência de pertencimento, </w:t>
      </w:r>
      <w:r w:rsidDel="00000000" w:rsidR="00000000" w:rsidRPr="00000000">
        <w:rPr>
          <w:rFonts w:ascii="Arial" w:cs="Arial" w:eastAsia="Arial" w:hAnsi="Arial"/>
          <w:b w:val="0"/>
          <w:bCs w:val="0"/>
          <w:rtl w:val="0"/>
        </w:rPr>
        <w:t xml:space="preserve">de formação humana</w:t>
      </w:r>
      <w:r w:rsidDel="00000000" w:rsidR="00000000" w:rsidRPr="00000000">
        <w:rPr>
          <w:rFonts w:ascii="Arial" w:cs="Arial" w:eastAsia="Arial" w:hAnsi="Arial"/>
          <w:rtl w:val="0"/>
        </w:rPr>
        <w:t xml:space="preserve"> e de ampliação das possibilidades de participação social.</w:t>
      </w:r>
    </w:p>
    <w:p w:rsidR="00000000" w:rsidDel="00000000" w:rsidP="00000000" w:rsidRDefault="00000000" w:rsidRPr="00000000" w14:paraId="0000004A">
      <w:pPr>
        <w:rPr>
          <w:rFonts w:ascii="Arial" w:cs="Arial" w:eastAsia="Arial" w:hAnsi="Arial"/>
        </w:rPr>
      </w:pPr>
      <w:r w:rsidDel="00000000" w:rsidR="00000000" w:rsidRPr="00000000">
        <w:rPr>
          <w:rtl w:val="0"/>
        </w:rPr>
      </w:r>
    </w:p>
    <w:p w:rsidR="00000000" w:rsidDel="00000000" w:rsidP="00000000" w:rsidRDefault="00000000" w:rsidRPr="00000000" w14:paraId="0000004B">
      <w:pPr>
        <w:spacing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REFERÊNCIAS</w:t>
      </w:r>
      <w:r w:rsidDel="00000000" w:rsidR="00000000" w:rsidRPr="00000000">
        <w:rPr>
          <w:rtl w:val="0"/>
        </w:rPr>
      </w:r>
    </w:p>
    <w:p w:rsidR="00000000" w:rsidDel="00000000" w:rsidP="00000000" w:rsidRDefault="00000000" w:rsidRPr="00000000" w14:paraId="0000004C">
      <w:pPr>
        <w:spacing w:after="0" w:before="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CLANDININ, D. J.; CONNELLY, F. M. </w:t>
      </w:r>
      <w:r w:rsidDel="00000000" w:rsidR="00000000" w:rsidRPr="00000000">
        <w:rPr>
          <w:rFonts w:ascii="Arial" w:cs="Arial" w:eastAsia="Arial" w:hAnsi="Arial"/>
          <w:b w:val="1"/>
          <w:bCs w:val="1"/>
          <w:color w:val="000000"/>
          <w:rtl w:val="0"/>
        </w:rPr>
        <w:t xml:space="preserve">Pesquisa narrativa</w:t>
      </w:r>
      <w:r w:rsidDel="00000000" w:rsidR="00000000" w:rsidRPr="00000000">
        <w:rPr>
          <w:rFonts w:ascii="Arial" w:cs="Arial" w:eastAsia="Arial" w:hAnsi="Arial"/>
          <w:color w:val="000000"/>
          <w:rtl w:val="0"/>
        </w:rPr>
        <w:t xml:space="preserve">: experiências e história na pesquisa qualitativa. Trad.: Grupo de Pesquisa Narrativa e Educação de Professores ILEEL/UFU –Uberlândia: Edufu, 2015. </w:t>
      </w:r>
    </w:p>
    <w:p w:rsidR="00000000" w:rsidDel="00000000" w:rsidP="00000000" w:rsidRDefault="00000000" w:rsidRPr="00000000" w14:paraId="0000004D">
      <w:pPr>
        <w:spacing w:after="0" w:before="0" w:line="24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4E">
      <w:pPr>
        <w:spacing w:after="0" w:before="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CORDEIRO, J. P. </w:t>
      </w:r>
      <w:r w:rsidDel="00000000" w:rsidR="00000000" w:rsidRPr="00000000">
        <w:rPr>
          <w:rFonts w:ascii="Arial" w:cs="Arial" w:eastAsia="Arial" w:hAnsi="Arial"/>
          <w:b w:val="1"/>
          <w:bCs w:val="1"/>
          <w:color w:val="000000"/>
          <w:rtl w:val="0"/>
        </w:rPr>
        <w:t xml:space="preserve">Corpo-território-LGBT</w:t>
      </w:r>
      <w:r w:rsidDel="00000000" w:rsidR="00000000" w:rsidRPr="00000000">
        <w:rPr>
          <w:rFonts w:ascii="Arial" w:cs="Arial" w:eastAsia="Arial" w:hAnsi="Arial"/>
          <w:color w:val="000000"/>
          <w:rtl w:val="0"/>
        </w:rPr>
        <w:t xml:space="preserve">+: imagens e narrativas de professores/as transviados/as na educação básica. 2022. 257 f. Tese (Doutorado) – Programa de Pós-Graduação em Educação e Contemporaneidade, Departamento de Educação, Universidade do Estado da Bahia, Salvador, BA, Brasil, 2022. (</w:t>
      </w:r>
      <w:r w:rsidDel="00000000" w:rsidR="00000000" w:rsidRPr="00000000">
        <w:rPr>
          <w:rFonts w:ascii="Arial" w:cs="Arial" w:eastAsia="Arial" w:hAnsi="Arial"/>
          <w:color w:val="0000ff"/>
          <w:u w:val="single"/>
          <w:rtl w:val="0"/>
        </w:rPr>
        <w:t xml:space="preserve">Link externo</w:t>
      </w:r>
      <w:r w:rsidDel="00000000" w:rsidR="00000000" w:rsidRPr="00000000">
        <w:rPr>
          <w:rFonts w:ascii="Arial" w:cs="Arial" w:eastAsia="Arial" w:hAnsi="Arial"/>
          <w:color w:val="000000"/>
          <w:rtl w:val="0"/>
        </w:rPr>
        <w:t xml:space="preserve">) Acesso em 14 mar 2026. </w:t>
      </w:r>
    </w:p>
    <w:p w:rsidR="00000000" w:rsidDel="00000000" w:rsidP="00000000" w:rsidRDefault="00000000" w:rsidRPr="00000000" w14:paraId="0000004F">
      <w:pPr>
        <w:spacing w:after="0" w:before="0" w:line="24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50">
      <w:pPr>
        <w:spacing w:after="0" w:before="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D’AMBROSIO, Ubiratan. </w:t>
      </w:r>
      <w:r w:rsidDel="00000000" w:rsidR="00000000" w:rsidRPr="00000000">
        <w:rPr>
          <w:rFonts w:ascii="Arial" w:cs="Arial" w:eastAsia="Arial" w:hAnsi="Arial"/>
          <w:b w:val="1"/>
          <w:bCs w:val="1"/>
          <w:color w:val="000000"/>
          <w:rtl w:val="0"/>
        </w:rPr>
        <w:t xml:space="preserve">Etnomatemática: </w:t>
      </w:r>
      <w:r w:rsidDel="00000000" w:rsidR="00000000" w:rsidRPr="00000000">
        <w:rPr>
          <w:rFonts w:ascii="Arial" w:cs="Arial" w:eastAsia="Arial" w:hAnsi="Arial"/>
          <w:color w:val="000000"/>
          <w:rtl w:val="0"/>
        </w:rPr>
        <w:t xml:space="preserve">elo entre as tradições e a modernidade. Belo Horizonte: Autêntica, 2005. </w:t>
      </w:r>
    </w:p>
    <w:p w:rsidR="00000000" w:rsidDel="00000000" w:rsidP="00000000" w:rsidRDefault="00000000" w:rsidRPr="00000000" w14:paraId="00000051">
      <w:pPr>
        <w:spacing w:after="0" w:before="0" w:line="24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52">
      <w:pPr>
        <w:spacing w:after="0" w:before="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FONSECA, M. C. </w:t>
      </w:r>
      <w:r w:rsidDel="00000000" w:rsidR="00000000" w:rsidRPr="00000000">
        <w:rPr>
          <w:rFonts w:ascii="Arial" w:cs="Arial" w:eastAsia="Arial" w:hAnsi="Arial"/>
          <w:b w:val="1"/>
          <w:bCs w:val="1"/>
          <w:color w:val="000000"/>
          <w:rtl w:val="0"/>
        </w:rPr>
        <w:t xml:space="preserve">Educação matemática de jovens e adultos: </w:t>
      </w:r>
      <w:r w:rsidDel="00000000" w:rsidR="00000000" w:rsidRPr="00000000">
        <w:rPr>
          <w:rFonts w:ascii="Arial" w:cs="Arial" w:eastAsia="Arial" w:hAnsi="Arial"/>
          <w:color w:val="000000"/>
          <w:rtl w:val="0"/>
        </w:rPr>
        <w:t xml:space="preserve">especificidades, desafios e contribuições. Belo Horizonte: Autêntica, 2012.</w:t>
      </w:r>
    </w:p>
    <w:p w:rsidR="00000000" w:rsidDel="00000000" w:rsidP="00000000" w:rsidRDefault="00000000" w:rsidRPr="00000000" w14:paraId="00000053">
      <w:pPr>
        <w:spacing w:after="0" w:before="0" w:line="24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54">
      <w:pPr>
        <w:spacing w:after="0" w:before="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FREIRE, P. </w:t>
      </w:r>
      <w:r w:rsidDel="00000000" w:rsidR="00000000" w:rsidRPr="00000000">
        <w:rPr>
          <w:rFonts w:ascii="Arial" w:cs="Arial" w:eastAsia="Arial" w:hAnsi="Arial"/>
          <w:b w:val="1"/>
          <w:bCs w:val="1"/>
          <w:color w:val="000000"/>
          <w:rtl w:val="0"/>
        </w:rPr>
        <w:t xml:space="preserve">Pedagogia da autonomia: </w:t>
      </w:r>
      <w:r w:rsidDel="00000000" w:rsidR="00000000" w:rsidRPr="00000000">
        <w:rPr>
          <w:rFonts w:ascii="Arial" w:cs="Arial" w:eastAsia="Arial" w:hAnsi="Arial"/>
          <w:color w:val="000000"/>
          <w:rtl w:val="0"/>
        </w:rPr>
        <w:t xml:space="preserve">saberes necessários à prática educativa. São Paulo: Paz e Terra, 2014.</w:t>
      </w:r>
    </w:p>
    <w:p w:rsidR="00000000" w:rsidDel="00000000" w:rsidP="00000000" w:rsidRDefault="00000000" w:rsidRPr="00000000" w14:paraId="00000055">
      <w:pPr>
        <w:spacing w:after="0" w:before="0" w:line="24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56">
      <w:pPr>
        <w:spacing w:after="0" w:before="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FREIRE, P. </w:t>
      </w:r>
      <w:r w:rsidDel="00000000" w:rsidR="00000000" w:rsidRPr="00000000">
        <w:rPr>
          <w:rFonts w:ascii="Arial" w:cs="Arial" w:eastAsia="Arial" w:hAnsi="Arial"/>
          <w:b w:val="1"/>
          <w:bCs w:val="1"/>
          <w:color w:val="000000"/>
          <w:rtl w:val="0"/>
        </w:rPr>
        <w:t xml:space="preserve">Pedagogia do oprimido</w:t>
      </w:r>
      <w:r w:rsidDel="00000000" w:rsidR="00000000" w:rsidRPr="00000000">
        <w:rPr>
          <w:rFonts w:ascii="Arial" w:cs="Arial" w:eastAsia="Arial" w:hAnsi="Arial"/>
          <w:color w:val="000000"/>
          <w:rtl w:val="0"/>
        </w:rPr>
        <w:t xml:space="preserve">. 60. ed. Rio de Janeiro: Paz e Terra, 2011.</w:t>
      </w:r>
    </w:p>
    <w:p w:rsidR="00000000" w:rsidDel="00000000" w:rsidP="00000000" w:rsidRDefault="00000000" w:rsidRPr="00000000" w14:paraId="00000057">
      <w:pPr>
        <w:spacing w:after="0" w:before="0" w:line="24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58">
      <w:pPr>
        <w:spacing w:after="0" w:before="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FRIGOTTO, G. et al. Concepções e mudanças no mundo do trabalho e o ensino médio. In: FRIGOTTO, G.; CIAVATTA, M.; RAMOS, M. </w:t>
      </w:r>
      <w:r w:rsidDel="00000000" w:rsidR="00000000" w:rsidRPr="00000000">
        <w:rPr>
          <w:rFonts w:ascii="Arial" w:cs="Arial" w:eastAsia="Arial" w:hAnsi="Arial"/>
          <w:b w:val="1"/>
          <w:bCs w:val="1"/>
          <w:color w:val="000000"/>
          <w:rtl w:val="0"/>
        </w:rPr>
        <w:t xml:space="preserve">Ensino médio integrado: </w:t>
      </w:r>
      <w:r w:rsidDel="00000000" w:rsidR="00000000" w:rsidRPr="00000000">
        <w:rPr>
          <w:rFonts w:ascii="Arial" w:cs="Arial" w:eastAsia="Arial" w:hAnsi="Arial"/>
          <w:color w:val="000000"/>
          <w:rtl w:val="0"/>
        </w:rPr>
        <w:t xml:space="preserve">concepção e contradições. São Paulo: Cortez, 2005.</w:t>
      </w:r>
    </w:p>
    <w:p w:rsidR="00000000" w:rsidDel="00000000" w:rsidP="00000000" w:rsidRDefault="00000000" w:rsidRPr="00000000" w14:paraId="00000059">
      <w:pPr>
        <w:spacing w:after="0" w:before="0" w:line="24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5A">
      <w:pPr>
        <w:spacing w:after="0" w:before="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MANTOAN, M.T. E. </w:t>
      </w:r>
      <w:r w:rsidDel="00000000" w:rsidR="00000000" w:rsidRPr="00000000">
        <w:rPr>
          <w:rFonts w:ascii="Arial" w:cs="Arial" w:eastAsia="Arial" w:hAnsi="Arial"/>
          <w:b w:val="1"/>
          <w:bCs w:val="1"/>
          <w:color w:val="000000"/>
          <w:rtl w:val="0"/>
        </w:rPr>
        <w:t xml:space="preserve">Inclusão escolar: </w:t>
      </w:r>
      <w:r w:rsidDel="00000000" w:rsidR="00000000" w:rsidRPr="00000000">
        <w:rPr>
          <w:rFonts w:ascii="Arial" w:cs="Arial" w:eastAsia="Arial" w:hAnsi="Arial"/>
          <w:color w:val="000000"/>
          <w:rtl w:val="0"/>
        </w:rPr>
        <w:t xml:space="preserve">o que é? por quê? como fazer? São Paulo: Summus, 2015.</w:t>
      </w:r>
    </w:p>
    <w:p w:rsidR="00000000" w:rsidDel="00000000" w:rsidP="00000000" w:rsidRDefault="00000000" w:rsidRPr="00000000" w14:paraId="0000005B">
      <w:pPr>
        <w:spacing w:after="0" w:before="0" w:line="24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5C">
      <w:pPr>
        <w:spacing w:after="0" w:before="0" w:line="24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RAMOS, M. </w:t>
      </w:r>
      <w:r w:rsidDel="00000000" w:rsidR="00000000" w:rsidRPr="00000000">
        <w:rPr>
          <w:rFonts w:ascii="Arial" w:cs="Arial" w:eastAsia="Arial" w:hAnsi="Arial"/>
          <w:b w:val="1"/>
          <w:bCs w:val="1"/>
          <w:color w:val="000000"/>
          <w:rtl w:val="0"/>
        </w:rPr>
        <w:t xml:space="preserve">Concepção do ensino médio integrado</w:t>
      </w:r>
      <w:r w:rsidDel="00000000" w:rsidR="00000000" w:rsidRPr="00000000">
        <w:rPr>
          <w:rFonts w:ascii="Arial" w:cs="Arial" w:eastAsia="Arial" w:hAnsi="Arial"/>
          <w:color w:val="000000"/>
          <w:rtl w:val="0"/>
        </w:rPr>
        <w:t xml:space="preserve">. Pará: Secretaria de Educação do Estado do Pará, 2008.</w:t>
      </w:r>
    </w:p>
    <w:p w:rsidR="00000000" w:rsidDel="00000000" w:rsidP="00000000" w:rsidRDefault="00000000" w:rsidRPr="00000000" w14:paraId="0000005D">
      <w:pPr>
        <w:spacing w:after="0" w:before="0" w:line="24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5E">
      <w:pPr>
        <w:spacing w:after="0" w:before="0" w:line="240" w:lineRule="auto"/>
        <w:jc w:val="left"/>
        <w:rPr>
          <w:rFonts w:ascii="Arial" w:cs="Arial" w:eastAsia="Arial" w:hAnsi="Arial"/>
          <w:b w:val="1"/>
          <w:bCs w:val="1"/>
          <w:color w:val="000000"/>
          <w:sz w:val="22"/>
          <w:szCs w:val="22"/>
        </w:rPr>
      </w:pPr>
      <w:r w:rsidDel="00000000" w:rsidR="00000000" w:rsidRPr="00000000">
        <w:rPr>
          <w:rFonts w:ascii="Arial" w:cs="Arial" w:eastAsia="Arial" w:hAnsi="Arial"/>
          <w:color w:val="000000"/>
          <w:rtl w:val="0"/>
        </w:rPr>
        <w:t xml:space="preserve">SKOVSMOSE, O. </w:t>
      </w:r>
      <w:r w:rsidDel="00000000" w:rsidR="00000000" w:rsidRPr="00000000">
        <w:rPr>
          <w:rFonts w:ascii="Arial" w:cs="Arial" w:eastAsia="Arial" w:hAnsi="Arial"/>
          <w:b w:val="1"/>
          <w:bCs w:val="1"/>
          <w:color w:val="000000"/>
          <w:rtl w:val="0"/>
        </w:rPr>
        <w:t xml:space="preserve">Educação matemática crítica: </w:t>
      </w:r>
      <w:r w:rsidDel="00000000" w:rsidR="00000000" w:rsidRPr="00000000">
        <w:rPr>
          <w:rFonts w:ascii="Arial" w:cs="Arial" w:eastAsia="Arial" w:hAnsi="Arial"/>
          <w:color w:val="000000"/>
          <w:rtl w:val="0"/>
        </w:rPr>
        <w:t xml:space="preserve">a questão da democracia. Campinas: Papirus, 2001.</w:t>
      </w:r>
      <w:r w:rsidDel="00000000" w:rsidR="00000000" w:rsidRPr="00000000">
        <w:rPr>
          <w:rtl w:val="0"/>
        </w:rPr>
      </w:r>
    </w:p>
    <w:p w:rsidR="00000000" w:rsidDel="00000000" w:rsidP="00000000" w:rsidRDefault="00000000" w:rsidRPr="00000000" w14:paraId="0000005F">
      <w:pPr>
        <w:spacing w:after="0" w:before="0" w:line="240" w:lineRule="auto"/>
        <w:rPr>
          <w:rFonts w:ascii="Arial" w:cs="Arial" w:eastAsia="Arial" w:hAnsi="Arial"/>
        </w:rPr>
      </w:pPr>
      <w:r w:rsidDel="00000000" w:rsidR="00000000" w:rsidRPr="00000000">
        <w:rPr>
          <w:rtl w:val="0"/>
        </w:rPr>
      </w:r>
    </w:p>
    <w:sectPr>
      <w:headerReference r:id="rId8" w:type="default"/>
      <w:pgSz w:h="16838" w:w="11906" w:orient="portrait"/>
      <w:pgMar w:bottom="1418" w:top="1701" w:left="1701"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0">
      <w:pP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Instituto Federal do Espírito Santo (IFES – Campus Vitória), eugeniazorzals@gmail.com.</w:t>
      </w:r>
    </w:p>
  </w:footnote>
  <w:footnote w:id="1">
    <w:p w:rsidR="00000000" w:rsidDel="00000000" w:rsidP="00000000" w:rsidRDefault="00000000" w:rsidRPr="00000000" w14:paraId="00000061">
      <w:pP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Institu</w:t>
      </w:r>
      <w:r w:rsidDel="00000000" w:rsidR="00000000" w:rsidRPr="00000000">
        <w:rPr>
          <w:sz w:val="20"/>
          <w:szCs w:val="20"/>
          <w:rtl w:val="0"/>
        </w:rPr>
        <w:t xml:space="preserve">to</w:t>
      </w:r>
      <w:r w:rsidDel="00000000" w:rsidR="00000000" w:rsidRPr="00000000">
        <w:rPr>
          <w:color w:val="000000"/>
          <w:sz w:val="20"/>
          <w:szCs w:val="20"/>
          <w:rtl w:val="0"/>
        </w:rPr>
        <w:t xml:space="preserve"> Federal do Espírito Santo (IFES – Campus Vitória), janivaldocordeiro@gmail.com.</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spacing w:after="0" w:line="240" w:lineRule="auto"/>
      <w:jc w:val="center"/>
      <w:rPr>
        <w:rFonts w:ascii="Calibri" w:cs="Calibri" w:eastAsia="Calibri" w:hAnsi="Calibri"/>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762000</wp:posOffset>
          </wp:positionH>
          <wp:positionV relativeFrom="paragraph">
            <wp:posOffset>-335279</wp:posOffset>
          </wp:positionV>
          <wp:extent cx="4058603" cy="1761112"/>
          <wp:effectExtent b="0" l="0" r="0" t="0"/>
          <wp:wrapNone/>
          <wp:docPr descr="Descrição da logo do evento localizado no cabeçalho do documento: A imagem apresenta a identidade visual do IV ENEMI – IV Encontro Nacional de Educação Matemática Inclusiva. Ao centro, destaca-se a sigla “IV ENEMI”, escrita com letras estilizadas, coloridas e com padrões gráficos que remetem a diferentes culturas e à diversidade. Logo abaixo, em uma faixa azul, lê-se o texto “IV Encontro Nacional de Educação Matemática Inclusiva”. À esquerda da composição, há uma grande mão estilizada, com grafismos inspirados em arte indígena, da qual emergem várias figuras humanas coloridas, de braços erguidos, simbolizando coletividade, inclusão e participação. Próximo à base da mão, aparece uma capivara, elemento que remete à fauna brasileira e à região Centro-Oeste. À direita, observa-se uma arara vermelha, com parte asa em cor azul, em voo, com asas abertas, reforçando a conexão com a natureza e a identidade regional. Na parte inferior do cartaz: Campo Grande, MS, de 29 a 31 de julho de 2026, seguido do nome da instituição anfitriã: Universidade Federal de Mato Grosso do Sul. O fundo é claro, levemente texturizado, conferindo leveza e destaque aos elementos gráficos e textuais." id="10" name="image1.jpg"/>
          <a:graphic>
            <a:graphicData uri="http://schemas.openxmlformats.org/drawingml/2006/picture">
              <pic:pic>
                <pic:nvPicPr>
                  <pic:cNvPr descr="Descrição da logo do evento localizado no cabeçalho do documento: A imagem apresenta a identidade visual do IV ENEMI – IV Encontro Nacional de Educação Matemática Inclusiva. Ao centro, destaca-se a sigla “IV ENEMI”, escrita com letras estilizadas, coloridas e com padrões gráficos que remetem a diferentes culturas e à diversidade. Logo abaixo, em uma faixa azul, lê-se o texto “IV Encontro Nacional de Educação Matemática Inclusiva”. À esquerda da composição, há uma grande mão estilizada, com grafismos inspirados em arte indígena, da qual emergem várias figuras humanas coloridas, de braços erguidos, simbolizando coletividade, inclusão e participação. Próximo à base da mão, aparece uma capivara, elemento que remete à fauna brasileira e à região Centro-Oeste. À direita, observa-se uma arara vermelha, com parte asa em cor azul, em voo, com asas abertas, reforçando a conexão com a natureza e a identidade regional. Na parte inferior do cartaz: Campo Grande, MS, de 29 a 31 de julho de 2026, seguido do nome da instituição anfitriã: Universidade Federal de Mato Grosso do Sul. O fundo é claro, levemente texturizado, conferindo leveza e destaque aos elementos gráficos e textuais." id="0" name="image1.jpg"/>
                  <pic:cNvPicPr preferRelativeResize="0"/>
                </pic:nvPicPr>
                <pic:blipFill>
                  <a:blip r:embed="rId1"/>
                  <a:srcRect b="9629" l="0" r="0" t="9764"/>
                  <a:stretch>
                    <a:fillRect/>
                  </a:stretch>
                </pic:blipFill>
                <pic:spPr>
                  <a:xfrm>
                    <a:off x="0" y="0"/>
                    <a:ext cx="4058603" cy="1761112"/>
                  </a:xfrm>
                  <a:prstGeom prst="rect"/>
                  <a:ln/>
                </pic:spPr>
              </pic:pic>
            </a:graphicData>
          </a:graphic>
        </wp:anchor>
      </w:drawing>
    </w:r>
  </w:p>
  <w:p w:rsidR="00000000" w:rsidDel="00000000" w:rsidP="00000000" w:rsidRDefault="00000000" w:rsidRPr="00000000" w14:paraId="00000063">
    <w:pPr>
      <w:spacing w:after="0" w:line="24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4">
    <w:pPr>
      <w:spacing w:after="0" w:line="24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5">
    <w:pPr>
      <w:spacing w:after="0" w:line="24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6">
    <w:pPr>
      <w:spacing w:after="0" w:line="24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7">
    <w:pPr>
      <w:spacing w:after="0" w:line="24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8">
    <w:pPr>
      <w:spacing w:after="0" w:line="24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9">
    <w:pPr>
      <w:spacing w:after="0" w:line="24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A">
    <w:pPr>
      <w:spacing w:after="0" w:line="240" w:lineRule="auto"/>
      <w:jc w:val="center"/>
      <w:rPr>
        <w:rFonts w:ascii="Calibri" w:cs="Calibri" w:eastAsia="Calibri" w:hAnsi="Calibri"/>
        <w:b w:val="1"/>
        <w:bCs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spacing w:after="120"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before="480" w:lineRule="auto"/>
    </w:pPr>
    <w:rPr>
      <w:b w:val="1"/>
      <w:bCs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Forte">
    <w:name w:val="Strong"/>
    <w:basedOn w:val="Fontepargpadro"/>
    <w:uiPriority w:val="22"/>
    <w:qFormat w:val="1"/>
    <w:rPr>
      <w:b w:val="1"/>
      <w:bCs w:val="1"/>
    </w:rPr>
  </w:style>
  <w:style w:type="character" w:styleId="Refdecomentrio">
    <w:name w:val="annotation reference"/>
    <w:basedOn w:val="Fontepargpadro"/>
    <w:uiPriority w:val="99"/>
    <w:semiHidden w:val="1"/>
    <w:unhideWhenUsed w:val="1"/>
    <w:qFormat w:val="1"/>
    <w:rPr>
      <w:sz w:val="16"/>
      <w:szCs w:val="16"/>
    </w:rPr>
  </w:style>
  <w:style w:type="character" w:styleId="nfase">
    <w:name w:val="Emphasis"/>
    <w:basedOn w:val="Fontepargpadro"/>
    <w:uiPriority w:val="20"/>
    <w:qFormat w:val="1"/>
    <w:rPr>
      <w:i w:val="1"/>
      <w:iCs w:val="1"/>
    </w:rPr>
  </w:style>
  <w:style w:type="character" w:styleId="Refdenotaderodap">
    <w:name w:val="footnote reference"/>
    <w:basedOn w:val="Fontepargpadro"/>
    <w:uiPriority w:val="99"/>
    <w:semiHidden w:val="1"/>
    <w:unhideWhenUsed w:val="1"/>
    <w:qFormat w:val="1"/>
    <w:rPr>
      <w:vertAlign w:val="superscript"/>
    </w:rPr>
  </w:style>
  <w:style w:type="character" w:styleId="Hyperlink">
    <w:name w:val="Hyperlink"/>
    <w:basedOn w:val="Fontepargpadro"/>
    <w:uiPriority w:val="99"/>
    <w:semiHidden w:val="1"/>
    <w:unhideWhenUsed w:val="1"/>
    <w:rPr>
      <w:color w:val="0000ff"/>
      <w:u w:val="single"/>
    </w:rPr>
  </w:style>
  <w:style w:type="paragraph" w:styleId="Textodecomentrio">
    <w:name w:val="annotation text"/>
    <w:basedOn w:val="Normal"/>
    <w:link w:val="TextodecomentrioChar"/>
    <w:uiPriority w:val="99"/>
    <w:semiHidden w:val="1"/>
    <w:unhideWhenUsed w:val="1"/>
    <w:qFormat w:val="1"/>
    <w:pPr>
      <w:spacing w:line="240" w:lineRule="auto"/>
    </w:pPr>
    <w:rPr>
      <w:sz w:val="20"/>
      <w:szCs w:val="20"/>
    </w:rPr>
  </w:style>
  <w:style w:type="paragraph" w:styleId="NormalWeb">
    <w:name w:val="Normal (Web)"/>
    <w:basedOn w:val="Normal"/>
    <w:uiPriority w:val="99"/>
    <w:qFormat w:val="1"/>
    <w:pPr>
      <w:spacing w:after="100" w:afterAutospacing="1" w:before="100" w:beforeAutospacing="1" w:line="240" w:lineRule="auto"/>
      <w:jc w:val="left"/>
    </w:pPr>
  </w:style>
  <w:style w:type="paragraph" w:styleId="TextosemFormatao">
    <w:name w:val="Plain Text"/>
    <w:basedOn w:val="Normal"/>
    <w:link w:val="TextosemFormataoChar"/>
    <w:qFormat w:val="1"/>
    <w:pPr>
      <w:spacing w:after="0" w:line="240" w:lineRule="auto"/>
      <w:jc w:val="left"/>
    </w:pPr>
    <w:rPr>
      <w:rFonts w:ascii="Courier New" w:hAnsi="Courier New"/>
      <w:sz w:val="20"/>
      <w:lang w:eastAsia="de-DE" w:val="hr-HR"/>
    </w:rPr>
  </w:style>
  <w:style w:type="paragraph" w:styleId="Cabealho">
    <w:name w:val="header"/>
    <w:basedOn w:val="Normal"/>
    <w:link w:val="CabealhoChar"/>
    <w:uiPriority w:val="99"/>
    <w:unhideWhenUsed w:val="1"/>
    <w:qFormat w:val="1"/>
    <w:pPr>
      <w:tabs>
        <w:tab w:val="center" w:pos="4252"/>
        <w:tab w:val="right" w:pos="8504"/>
      </w:tabs>
      <w:spacing w:after="0" w:line="240" w:lineRule="auto"/>
      <w:jc w:val="left"/>
    </w:pPr>
    <w:rPr>
      <w:rFonts w:asciiTheme="minorHAnsi" w:cstheme="minorBidi" w:eastAsiaTheme="minorHAnsi" w:hAnsiTheme="minorHAnsi"/>
      <w:lang w:eastAsia="en-US"/>
    </w:rPr>
  </w:style>
  <w:style w:type="paragraph" w:styleId="Assuntodocomentrio">
    <w:name w:val="annotation subject"/>
    <w:basedOn w:val="Textodecomentrio"/>
    <w:next w:val="Textodecomentrio"/>
    <w:link w:val="AssuntodocomentrioChar"/>
    <w:uiPriority w:val="99"/>
    <w:semiHidden w:val="1"/>
    <w:unhideWhenUsed w:val="1"/>
    <w:qFormat w:val="1"/>
    <w:rPr>
      <w:b w:val="1"/>
      <w:bCs w:val="1"/>
    </w:rPr>
  </w:style>
  <w:style w:type="paragraph" w:styleId="Rodap">
    <w:name w:val="footer"/>
    <w:basedOn w:val="Normal"/>
    <w:link w:val="RodapChar"/>
    <w:uiPriority w:val="99"/>
    <w:unhideWhenUsed w:val="1"/>
    <w:qFormat w:val="1"/>
    <w:pPr>
      <w:tabs>
        <w:tab w:val="center" w:pos="4252"/>
        <w:tab w:val="right" w:pos="8504"/>
      </w:tabs>
      <w:spacing w:after="0" w:line="240" w:lineRule="auto"/>
      <w:jc w:val="left"/>
    </w:pPr>
    <w:rPr>
      <w:rFonts w:asciiTheme="minorHAnsi" w:cstheme="minorBidi" w:eastAsiaTheme="minorHAnsi" w:hAnsiTheme="minorHAnsi"/>
      <w:lang w:eastAsia="en-US"/>
    </w:rPr>
  </w:style>
  <w:style w:type="paragraph" w:styleId="Legenda">
    <w:name w:val="caption"/>
    <w:basedOn w:val="Normal"/>
    <w:next w:val="Normal"/>
    <w:qFormat w:val="1"/>
    <w:pPr>
      <w:spacing w:before="120" w:line="240" w:lineRule="auto"/>
      <w:jc w:val="left"/>
    </w:pPr>
    <w:rPr>
      <w:b w:val="1"/>
      <w:bCs w:val="1"/>
      <w:sz w:val="20"/>
      <w:szCs w:val="20"/>
    </w:rPr>
  </w:style>
  <w:style w:type="paragraph" w:styleId="Textodenotaderodap">
    <w:name w:val="footnote text"/>
    <w:basedOn w:val="Normal"/>
    <w:link w:val="TextodenotaderodapChar"/>
    <w:uiPriority w:val="99"/>
    <w:unhideWhenUsed w:val="1"/>
    <w:qFormat w:val="1"/>
    <w:pPr>
      <w:spacing w:after="0" w:line="240" w:lineRule="auto"/>
    </w:pPr>
    <w:rPr>
      <w:sz w:val="20"/>
      <w:szCs w:val="20"/>
    </w:rPr>
  </w:style>
  <w:style w:type="table" w:styleId="TableNormal" w:customStyle="1">
    <w:name w:val="TableNormal"/>
    <w:qFormat w:val="1"/>
    <w:tblPr>
      <w:tblCellMar>
        <w:top w:w="100.0" w:type="dxa"/>
        <w:left w:w="100.0" w:type="dxa"/>
        <w:bottom w:w="100.0" w:type="dxa"/>
        <w:right w:w="100.0" w:type="dxa"/>
      </w:tblCellMar>
    </w:tblPr>
  </w:style>
  <w:style w:type="table" w:styleId="TableNormal0" w:customStyle="1">
    <w:name w:val="Table Normal"/>
    <w:qFormat w:val="1"/>
    <w:tblPr>
      <w:tblCellMar>
        <w:top w:w="0.0" w:type="dxa"/>
        <w:left w:w="0.0" w:type="dxa"/>
        <w:bottom w:w="0.0" w:type="dxa"/>
        <w:right w:w="0.0" w:type="dxa"/>
      </w:tblCellMar>
    </w:tblPr>
  </w:style>
  <w:style w:type="character" w:styleId="CabealhoChar" w:customStyle="1">
    <w:name w:val="Cabeçalho Char"/>
    <w:basedOn w:val="Fontepargpadro"/>
    <w:link w:val="Cabealho"/>
    <w:uiPriority w:val="99"/>
    <w:qFormat w:val="1"/>
  </w:style>
  <w:style w:type="character" w:styleId="RodapChar" w:customStyle="1">
    <w:name w:val="Rodapé Char"/>
    <w:basedOn w:val="Fontepargpadro"/>
    <w:link w:val="Rodap"/>
    <w:uiPriority w:val="99"/>
    <w:qFormat w:val="1"/>
  </w:style>
  <w:style w:type="character" w:styleId="TextodenotaderodapChar" w:customStyle="1">
    <w:name w:val="Texto de nota de rodapé Char"/>
    <w:basedOn w:val="Fontepargpadro"/>
    <w:link w:val="Textodenotaderodap"/>
    <w:uiPriority w:val="99"/>
    <w:qFormat w:val="1"/>
    <w:rPr>
      <w:rFonts w:ascii="Times New Roman" w:cs="Times New Roman" w:eastAsia="Times New Roman" w:hAnsi="Times New Roman"/>
      <w:color w:val="000000"/>
      <w:sz w:val="20"/>
      <w:szCs w:val="20"/>
      <w:lang w:eastAsia="pt-BR"/>
    </w:rPr>
  </w:style>
  <w:style w:type="paragraph" w:styleId="GD" w:customStyle="1">
    <w:name w:val="GD"/>
    <w:basedOn w:val="Normal"/>
    <w:qFormat w:val="1"/>
    <w:pPr>
      <w:spacing w:after="240" w:line="225" w:lineRule="atLeast"/>
      <w:jc w:val="center"/>
    </w:pPr>
  </w:style>
  <w:style w:type="paragraph" w:styleId="Autor" w:customStyle="1">
    <w:name w:val="Autor"/>
    <w:basedOn w:val="Normal"/>
    <w:qFormat w:val="1"/>
    <w:pPr>
      <w:spacing w:after="480"/>
      <w:jc w:val="right"/>
    </w:pPr>
  </w:style>
  <w:style w:type="paragraph" w:styleId="Ttulodotrabalho" w:customStyle="1">
    <w:name w:val="Título do trabalho"/>
    <w:basedOn w:val="Normal"/>
    <w:qFormat w:val="1"/>
    <w:pPr>
      <w:spacing w:after="480"/>
      <w:jc w:val="center"/>
    </w:pPr>
    <w:rPr>
      <w:b w:val="1"/>
      <w:sz w:val="28"/>
    </w:rPr>
  </w:style>
  <w:style w:type="paragraph" w:styleId="Textoartigo" w:customStyle="1">
    <w:name w:val="Texto_artigo"/>
    <w:basedOn w:val="Normal"/>
    <w:autoRedefine w:val="1"/>
    <w:qFormat w:val="1"/>
    <w:pPr>
      <w:spacing w:after="0" w:line="240" w:lineRule="auto"/>
      <w:ind w:firstLine="709"/>
    </w:pPr>
    <w:rPr>
      <w:szCs w:val="20"/>
    </w:rPr>
  </w:style>
  <w:style w:type="paragraph" w:styleId="Legendadefigura" w:customStyle="1">
    <w:name w:val="Legenda_de_figura"/>
    <w:basedOn w:val="Normal"/>
    <w:autoRedefine w:val="1"/>
    <w:qFormat w:val="1"/>
    <w:pPr>
      <w:spacing w:line="240" w:lineRule="auto"/>
      <w:jc w:val="center"/>
    </w:pPr>
    <w:rPr>
      <w:b w:val="1"/>
      <w:sz w:val="22"/>
      <w:szCs w:val="20"/>
    </w:rPr>
  </w:style>
  <w:style w:type="paragraph" w:styleId="Tabelas" w:customStyle="1">
    <w:name w:val="Tabelas"/>
    <w:basedOn w:val="Normal"/>
    <w:autoRedefine w:val="1"/>
    <w:qFormat w:val="1"/>
    <w:pPr>
      <w:spacing w:after="60" w:before="60" w:line="240" w:lineRule="auto"/>
      <w:ind w:left="72"/>
      <w:jc w:val="center"/>
    </w:pPr>
    <w:rPr>
      <w:szCs w:val="20"/>
    </w:rPr>
  </w:style>
  <w:style w:type="paragraph" w:styleId="Referencias" w:customStyle="1">
    <w:name w:val="Referencias"/>
    <w:basedOn w:val="Normal"/>
    <w:autoRedefine w:val="1"/>
    <w:qFormat w:val="1"/>
    <w:pPr>
      <w:spacing w:before="120" w:line="240" w:lineRule="auto"/>
      <w:ind w:left="300" w:hanging="300"/>
    </w:pPr>
    <w:rPr>
      <w:szCs w:val="20"/>
    </w:rPr>
  </w:style>
  <w:style w:type="character" w:styleId="apple-converted-space" w:customStyle="1">
    <w:name w:val="apple-converted-space"/>
    <w:basedOn w:val="Fontepargpadro"/>
    <w:qFormat w:val="1"/>
  </w:style>
  <w:style w:type="character" w:styleId="TextosemFormataoChar" w:customStyle="1">
    <w:name w:val="Texto sem Formatação Char"/>
    <w:basedOn w:val="Fontepargpadro"/>
    <w:link w:val="TextosemFormatao"/>
    <w:qFormat w:val="1"/>
    <w:rPr>
      <w:rFonts w:ascii="Courier New" w:cs="Times New Roman" w:eastAsia="Times New Roman" w:hAnsi="Courier New"/>
      <w:sz w:val="20"/>
      <w:lang w:eastAsia="de-DE" w:val="hr-HR"/>
    </w:rPr>
  </w:style>
  <w:style w:type="paragraph" w:styleId="PargrafodaLista">
    <w:name w:val="List Paragraph"/>
    <w:basedOn w:val="Normal"/>
    <w:uiPriority w:val="34"/>
    <w:qFormat w:val="1"/>
    <w:pPr>
      <w:ind w:left="720"/>
      <w:contextualSpacing w:val="1"/>
    </w:pPr>
  </w:style>
  <w:style w:type="paragraph" w:styleId="Resumo" w:customStyle="1">
    <w:name w:val="Resumo"/>
    <w:basedOn w:val="Normal"/>
    <w:qFormat w:val="1"/>
    <w:pPr>
      <w:spacing w:after="0" w:line="240" w:lineRule="auto"/>
    </w:pPr>
    <w:rPr>
      <w:sz w:val="20"/>
      <w:szCs w:val="20"/>
    </w:rPr>
  </w:style>
  <w:style w:type="paragraph" w:styleId="Palavras-chave" w:customStyle="1">
    <w:name w:val="Palavras-chave"/>
    <w:basedOn w:val="Normal"/>
    <w:qFormat w:val="1"/>
    <w:pPr>
      <w:spacing w:after="0" w:before="240" w:line="240" w:lineRule="auto"/>
    </w:pPr>
    <w:rPr>
      <w:sz w:val="20"/>
      <w:szCs w:val="20"/>
    </w:rPr>
  </w:style>
  <w:style w:type="paragraph" w:styleId="Seo" w:customStyle="1">
    <w:name w:val="Seção"/>
    <w:basedOn w:val="Normal"/>
    <w:qFormat w:val="1"/>
    <w:rPr>
      <w:b w:val="1"/>
    </w:rPr>
  </w:style>
  <w:style w:type="paragraph" w:styleId="Subseo" w:customStyle="1">
    <w:name w:val="Subseção"/>
    <w:basedOn w:val="Normal"/>
    <w:qFormat w:val="1"/>
    <w:rPr>
      <w:i w:val="1"/>
    </w:rPr>
  </w:style>
  <w:style w:type="table" w:styleId="Style37" w:customStyle="1">
    <w:name w:val="_Style 37"/>
    <w:basedOn w:val="TableNormal0"/>
    <w:qFormat w:val="1"/>
    <w:tblPr>
      <w:tblCellMar>
        <w:left w:w="70.0" w:type="dxa"/>
        <w:right w:w="70.0" w:type="dxa"/>
      </w:tblCellMar>
    </w:tblPr>
  </w:style>
  <w:style w:type="table" w:styleId="Style39" w:customStyle="1">
    <w:name w:val="_Style 39"/>
    <w:basedOn w:val="TableNormal0"/>
    <w:qFormat w:val="1"/>
    <w:tblPr>
      <w:tblCellMar>
        <w:left w:w="70.0" w:type="dxa"/>
        <w:right w:w="70.0" w:type="dxa"/>
      </w:tblCellMar>
    </w:tblPr>
  </w:style>
  <w:style w:type="character" w:styleId="TextodecomentrioChar" w:customStyle="1">
    <w:name w:val="Texto de comentário Char"/>
    <w:basedOn w:val="Fontepargpadro"/>
    <w:link w:val="Textodecomentrio"/>
    <w:uiPriority w:val="99"/>
    <w:semiHidden w:val="1"/>
    <w:qFormat w:val="1"/>
    <w:rPr>
      <w:sz w:val="20"/>
      <w:szCs w:val="20"/>
    </w:rPr>
  </w:style>
  <w:style w:type="character" w:styleId="AssuntodocomentrioChar" w:customStyle="1">
    <w:name w:val="Assunto do comentário Char"/>
    <w:basedOn w:val="TextodecomentrioChar"/>
    <w:link w:val="Assuntodocomentrio"/>
    <w:uiPriority w:val="99"/>
    <w:semiHidden w:val="1"/>
    <w:qFormat w:val="1"/>
    <w:rPr>
      <w:b w:val="1"/>
      <w:bCs w:val="1"/>
      <w:sz w:val="20"/>
      <w:szCs w:val="20"/>
    </w:rPr>
  </w:style>
  <w:style w:type="character" w:styleId="rynqvb" w:customStyle="1">
    <w:name w:val="rynqvb"/>
    <w:basedOn w:val="Fontepargpadro"/>
    <w:qFormat w:val="1"/>
  </w:style>
  <w:style w:type="character" w:styleId="hwtze" w:customStyle="1">
    <w:name w:val="hwtze"/>
    <w:basedOn w:val="Fontepargpadro"/>
    <w:qFormat w:val="1"/>
  </w:style>
  <w:style w:type="character" w:styleId="whitespace-normal" w:customStyle="1">
    <w:name w:val="whitespace-normal"/>
    <w:basedOn w:val="Fontepargpadro"/>
    <w:qFormat w:val="1"/>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0GZl7Utibijfnq1yDMrkkjeLsg==">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2026-03-20T18:56:00Z</dcterms:created>
  <dc:creator>EDMAR REIS THIENGO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D984AB7D55DD4840A3A497C80DD6340C_13</vt:lpwstr>
  </property>
</Properties>
</file>