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1477F" w14:textId="75F219D7" w:rsidR="008914B3" w:rsidRPr="00643422" w:rsidRDefault="008914B3" w:rsidP="00127232">
      <w:pPr>
        <w:pStyle w:val="Header"/>
        <w:jc w:val="both"/>
        <w:rPr>
          <w:rFonts w:ascii="Times New Roman" w:hAnsi="Times New Roman" w:cs="Times New Roman"/>
          <w:b/>
          <w:color w:val="000000" w:themeColor="text1"/>
        </w:rPr>
      </w:pPr>
    </w:p>
    <w:p w14:paraId="30A0A26A" w14:textId="77777777" w:rsidR="008914B3" w:rsidRPr="00643422" w:rsidRDefault="008914B3" w:rsidP="00127232">
      <w:pPr>
        <w:pStyle w:val="Header"/>
        <w:jc w:val="both"/>
        <w:rPr>
          <w:rFonts w:ascii="Times New Roman" w:hAnsi="Times New Roman" w:cs="Times New Roman"/>
          <w:b/>
          <w:color w:val="000000" w:themeColor="text1"/>
        </w:rPr>
      </w:pPr>
    </w:p>
    <w:p w14:paraId="1D8376BB" w14:textId="3D444D66" w:rsidR="00144D0D" w:rsidRPr="00643422" w:rsidRDefault="001649ED" w:rsidP="00127232">
      <w:pPr>
        <w:widowControl w:val="0"/>
        <w:autoSpaceDE w:val="0"/>
        <w:autoSpaceDN w:val="0"/>
        <w:adjustRightInd w:val="0"/>
        <w:jc w:val="both"/>
        <w:rPr>
          <w:rFonts w:ascii="Times New Roman" w:hAnsi="Times New Roman" w:cs="Times New Roman"/>
          <w:b/>
          <w:bCs/>
          <w:color w:val="000000" w:themeColor="text1"/>
          <w:sz w:val="28"/>
          <w:szCs w:val="28"/>
        </w:rPr>
      </w:pPr>
      <w:r w:rsidRPr="00643422">
        <w:rPr>
          <w:rFonts w:ascii="Times New Roman" w:hAnsi="Times New Roman" w:cs="Times New Roman"/>
          <w:b/>
          <w:bCs/>
          <w:color w:val="000000" w:themeColor="text1"/>
          <w:sz w:val="28"/>
          <w:szCs w:val="28"/>
        </w:rPr>
        <w:t xml:space="preserve">A </w:t>
      </w:r>
      <w:r w:rsidR="0001066C" w:rsidRPr="00643422">
        <w:rPr>
          <w:rFonts w:ascii="Times New Roman" w:hAnsi="Times New Roman" w:cs="Times New Roman"/>
          <w:b/>
          <w:bCs/>
          <w:color w:val="000000" w:themeColor="text1"/>
          <w:sz w:val="28"/>
          <w:szCs w:val="28"/>
        </w:rPr>
        <w:t xml:space="preserve">Etnomatemática </w:t>
      </w:r>
      <w:r w:rsidRPr="00643422">
        <w:rPr>
          <w:rFonts w:ascii="Times New Roman" w:hAnsi="Times New Roman" w:cs="Times New Roman"/>
          <w:b/>
          <w:bCs/>
          <w:color w:val="000000" w:themeColor="text1"/>
          <w:sz w:val="28"/>
          <w:szCs w:val="28"/>
        </w:rPr>
        <w:t>como tecnografia das práticas culturais: um olhar antropológico</w:t>
      </w:r>
    </w:p>
    <w:p w14:paraId="576E9C94" w14:textId="77777777" w:rsidR="00144D0D" w:rsidRPr="00643422" w:rsidRDefault="00144D0D" w:rsidP="00127232">
      <w:pPr>
        <w:widowControl w:val="0"/>
        <w:autoSpaceDE w:val="0"/>
        <w:autoSpaceDN w:val="0"/>
        <w:adjustRightInd w:val="0"/>
        <w:spacing w:line="360" w:lineRule="auto"/>
        <w:jc w:val="both"/>
        <w:rPr>
          <w:rFonts w:ascii="Times New Roman" w:hAnsi="Times New Roman" w:cs="Times New Roman"/>
          <w:b/>
          <w:bCs/>
          <w:color w:val="000000" w:themeColor="text1"/>
          <w:sz w:val="28"/>
          <w:szCs w:val="28"/>
        </w:rPr>
      </w:pPr>
    </w:p>
    <w:p w14:paraId="4BF50441" w14:textId="05530D1A" w:rsidR="009203EE" w:rsidRPr="00643422" w:rsidRDefault="000F7BCF" w:rsidP="00127232">
      <w:pPr>
        <w:jc w:val="both"/>
        <w:rPr>
          <w:rFonts w:ascii="Times New Roman" w:hAnsi="Times New Roman" w:cs="Times New Roman"/>
          <w:color w:val="000000" w:themeColor="text1"/>
          <w:lang w:val="en-US"/>
        </w:rPr>
      </w:pPr>
      <w:r w:rsidRPr="00643422">
        <w:rPr>
          <w:rFonts w:ascii="Times New Roman" w:hAnsi="Times New Roman" w:cs="Times New Roman"/>
          <w:b/>
          <w:bCs/>
          <w:color w:val="000000" w:themeColor="text1"/>
          <w:lang w:val="en-US"/>
        </w:rPr>
        <w:t>Ethnomathematics as technography of cultural practices: an anthropological view</w:t>
      </w:r>
    </w:p>
    <w:p w14:paraId="2A459F17" w14:textId="77777777" w:rsidR="009203EE" w:rsidRPr="00643422" w:rsidRDefault="009203EE" w:rsidP="00127232">
      <w:pPr>
        <w:widowControl w:val="0"/>
        <w:autoSpaceDE w:val="0"/>
        <w:autoSpaceDN w:val="0"/>
        <w:adjustRightInd w:val="0"/>
        <w:spacing w:line="360" w:lineRule="auto"/>
        <w:jc w:val="both"/>
        <w:rPr>
          <w:rFonts w:ascii="Times New Roman" w:hAnsi="Times New Roman" w:cs="Times New Roman"/>
          <w:b/>
          <w:bCs/>
          <w:color w:val="000000" w:themeColor="text1"/>
          <w:sz w:val="28"/>
          <w:szCs w:val="28"/>
        </w:rPr>
      </w:pPr>
    </w:p>
    <w:p w14:paraId="1BDD45C2" w14:textId="48EF158A" w:rsidR="00144D0D" w:rsidRPr="00643422" w:rsidRDefault="000F7BCF" w:rsidP="00127232">
      <w:pPr>
        <w:widowControl w:val="0"/>
        <w:autoSpaceDE w:val="0"/>
        <w:autoSpaceDN w:val="0"/>
        <w:adjustRightInd w:val="0"/>
        <w:jc w:val="both"/>
        <w:rPr>
          <w:rFonts w:ascii="Times New Roman" w:hAnsi="Times New Roman" w:cs="Times New Roman"/>
          <w:bCs/>
          <w:color w:val="000000" w:themeColor="text1"/>
        </w:rPr>
      </w:pPr>
      <w:r w:rsidRPr="00643422">
        <w:rPr>
          <w:rFonts w:ascii="Times New Roman" w:hAnsi="Times New Roman" w:cs="Times New Roman"/>
          <w:bCs/>
          <w:color w:val="000000" w:themeColor="text1"/>
        </w:rPr>
        <w:t>Rogério S. Lourenço</w:t>
      </w:r>
      <w:r w:rsidR="00C23ADC" w:rsidRPr="00643422">
        <w:rPr>
          <w:rStyle w:val="FootnoteReference"/>
          <w:color w:val="000000" w:themeColor="text1"/>
        </w:rPr>
        <w:footnoteReference w:id="1"/>
      </w:r>
      <w:r w:rsidR="00C23ADC" w:rsidRPr="00643422">
        <w:rPr>
          <w:rFonts w:ascii="Times New Roman" w:hAnsi="Times New Roman" w:cs="Times New Roman"/>
          <w:bCs/>
          <w:color w:val="000000" w:themeColor="text1"/>
        </w:rPr>
        <w:t xml:space="preserve"> </w:t>
      </w:r>
    </w:p>
    <w:p w14:paraId="12C9EC29" w14:textId="77777777" w:rsidR="00144D0D" w:rsidRPr="00643422" w:rsidRDefault="00144D0D" w:rsidP="00127232">
      <w:pPr>
        <w:spacing w:line="360" w:lineRule="auto"/>
        <w:jc w:val="both"/>
        <w:rPr>
          <w:rFonts w:ascii="Times New Roman" w:hAnsi="Times New Roman" w:cs="Times New Roman"/>
          <w:color w:val="000000" w:themeColor="text1"/>
        </w:rPr>
      </w:pPr>
    </w:p>
    <w:p w14:paraId="5BC807FF" w14:textId="4B5DA057" w:rsidR="009D681D" w:rsidRPr="00643422" w:rsidRDefault="00144D0D" w:rsidP="00244549">
      <w:pPr>
        <w:pStyle w:val="Heading1"/>
        <w:rPr>
          <w:color w:val="000000" w:themeColor="text1"/>
        </w:rPr>
      </w:pPr>
      <w:r w:rsidRPr="00643422">
        <w:rPr>
          <w:color w:val="000000" w:themeColor="text1"/>
        </w:rPr>
        <w:t>Resumo</w:t>
      </w:r>
    </w:p>
    <w:p w14:paraId="75C1F957" w14:textId="1BEF1E1B" w:rsidR="009D681D" w:rsidRPr="00643422" w:rsidRDefault="001F2CDF" w:rsidP="00127232">
      <w:pPr>
        <w:jc w:val="both"/>
        <w:rPr>
          <w:rFonts w:ascii="Times New Roman" w:hAnsi="Times New Roman" w:cs="Times New Roman"/>
          <w:color w:val="000000" w:themeColor="text1"/>
          <w:sz w:val="20"/>
          <w:szCs w:val="20"/>
        </w:rPr>
      </w:pPr>
      <w:r w:rsidRPr="00643422">
        <w:rPr>
          <w:rFonts w:ascii="Times New Roman" w:hAnsi="Times New Roman" w:cs="Times New Roman"/>
          <w:color w:val="000000" w:themeColor="text1"/>
          <w:sz w:val="20"/>
          <w:szCs w:val="20"/>
        </w:rPr>
        <w:t xml:space="preserve">O texto </w:t>
      </w:r>
      <w:r w:rsidR="00415506" w:rsidRPr="00643422">
        <w:rPr>
          <w:rFonts w:ascii="Times New Roman" w:hAnsi="Times New Roman" w:cs="Times New Roman"/>
          <w:color w:val="000000" w:themeColor="text1"/>
          <w:sz w:val="20"/>
          <w:szCs w:val="20"/>
        </w:rPr>
        <w:t>é</w:t>
      </w:r>
      <w:r w:rsidRPr="00643422">
        <w:rPr>
          <w:rFonts w:ascii="Times New Roman" w:hAnsi="Times New Roman" w:cs="Times New Roman"/>
          <w:color w:val="000000" w:themeColor="text1"/>
          <w:sz w:val="20"/>
          <w:szCs w:val="20"/>
        </w:rPr>
        <w:t xml:space="preserve"> reflexão </w:t>
      </w:r>
      <w:r w:rsidR="00B70D15" w:rsidRPr="00643422">
        <w:rPr>
          <w:rFonts w:ascii="Times New Roman" w:hAnsi="Times New Roman" w:cs="Times New Roman"/>
          <w:color w:val="000000" w:themeColor="text1"/>
          <w:sz w:val="20"/>
          <w:szCs w:val="20"/>
        </w:rPr>
        <w:t xml:space="preserve">terminológica </w:t>
      </w:r>
      <w:r w:rsidR="00163E7A" w:rsidRPr="00643422">
        <w:rPr>
          <w:rFonts w:ascii="Times New Roman" w:hAnsi="Times New Roman" w:cs="Times New Roman"/>
          <w:color w:val="000000" w:themeColor="text1"/>
          <w:sz w:val="20"/>
          <w:szCs w:val="20"/>
        </w:rPr>
        <w:t>d</w:t>
      </w:r>
      <w:r w:rsidRPr="00643422">
        <w:rPr>
          <w:rFonts w:ascii="Times New Roman" w:hAnsi="Times New Roman" w:cs="Times New Roman"/>
          <w:color w:val="000000" w:themeColor="text1"/>
          <w:sz w:val="20"/>
          <w:szCs w:val="20"/>
        </w:rPr>
        <w:t>os conceitos de cultura, linguagem e tecnologia.</w:t>
      </w:r>
      <w:r w:rsidR="00163E7A" w:rsidRPr="00643422">
        <w:rPr>
          <w:rFonts w:ascii="Times New Roman" w:hAnsi="Times New Roman" w:cs="Times New Roman"/>
          <w:color w:val="000000" w:themeColor="text1"/>
          <w:sz w:val="20"/>
          <w:szCs w:val="20"/>
        </w:rPr>
        <w:t xml:space="preserve"> </w:t>
      </w:r>
      <w:r w:rsidR="006314DB" w:rsidRPr="00643422">
        <w:rPr>
          <w:rFonts w:ascii="Times New Roman" w:hAnsi="Times New Roman" w:cs="Times New Roman"/>
          <w:color w:val="000000" w:themeColor="text1"/>
          <w:sz w:val="20"/>
          <w:szCs w:val="20"/>
        </w:rPr>
        <w:t xml:space="preserve">Desenvolve </w:t>
      </w:r>
      <w:r w:rsidR="00884E96" w:rsidRPr="00643422">
        <w:rPr>
          <w:rFonts w:ascii="Times New Roman" w:hAnsi="Times New Roman" w:cs="Times New Roman"/>
          <w:color w:val="000000" w:themeColor="text1"/>
          <w:sz w:val="20"/>
          <w:szCs w:val="20"/>
        </w:rPr>
        <w:t xml:space="preserve">a </w:t>
      </w:r>
      <w:r w:rsidR="006314DB" w:rsidRPr="00643422">
        <w:rPr>
          <w:rFonts w:ascii="Times New Roman" w:hAnsi="Times New Roman" w:cs="Times New Roman"/>
          <w:color w:val="000000" w:themeColor="text1"/>
          <w:sz w:val="20"/>
          <w:szCs w:val="20"/>
        </w:rPr>
        <w:t>compreen</w:t>
      </w:r>
      <w:r w:rsidR="00C047D3" w:rsidRPr="00643422">
        <w:rPr>
          <w:rFonts w:ascii="Times New Roman" w:hAnsi="Times New Roman" w:cs="Times New Roman"/>
          <w:color w:val="000000" w:themeColor="text1"/>
          <w:sz w:val="20"/>
          <w:szCs w:val="20"/>
        </w:rPr>
        <w:t>são d</w:t>
      </w:r>
      <w:r w:rsidR="006314DB" w:rsidRPr="00643422">
        <w:rPr>
          <w:rFonts w:ascii="Times New Roman" w:hAnsi="Times New Roman" w:cs="Times New Roman"/>
          <w:color w:val="000000" w:themeColor="text1"/>
          <w:sz w:val="20"/>
          <w:szCs w:val="20"/>
        </w:rPr>
        <w:t>as relações da língua, número e imagem</w:t>
      </w:r>
      <w:r w:rsidR="00163E7A" w:rsidRPr="00643422">
        <w:rPr>
          <w:rFonts w:ascii="Times New Roman" w:hAnsi="Times New Roman" w:cs="Times New Roman"/>
          <w:color w:val="000000" w:themeColor="text1"/>
          <w:sz w:val="20"/>
          <w:szCs w:val="20"/>
        </w:rPr>
        <w:t>,</w:t>
      </w:r>
      <w:r w:rsidR="006314DB" w:rsidRPr="00643422">
        <w:rPr>
          <w:rFonts w:ascii="Times New Roman" w:hAnsi="Times New Roman" w:cs="Times New Roman"/>
          <w:color w:val="000000" w:themeColor="text1"/>
          <w:sz w:val="20"/>
          <w:szCs w:val="20"/>
        </w:rPr>
        <w:t xml:space="preserve"> iniciadas na análise discursiva dos enunciados da Olimpíada de Matemática das Escolas Públicas, OBMEP (LOURENÇO, 2015). </w:t>
      </w:r>
      <w:r w:rsidR="00C73F87" w:rsidRPr="00643422">
        <w:rPr>
          <w:rFonts w:ascii="Times New Roman" w:hAnsi="Times New Roman" w:cs="Times New Roman"/>
          <w:color w:val="000000" w:themeColor="text1"/>
          <w:sz w:val="20"/>
          <w:szCs w:val="20"/>
        </w:rPr>
        <w:t>A abordagem metodológica empreendida</w:t>
      </w:r>
      <w:r w:rsidRPr="00643422">
        <w:rPr>
          <w:rFonts w:ascii="Times New Roman" w:hAnsi="Times New Roman" w:cs="Times New Roman"/>
          <w:color w:val="000000" w:themeColor="text1"/>
          <w:sz w:val="20"/>
          <w:szCs w:val="20"/>
        </w:rPr>
        <w:t xml:space="preserve"> </w:t>
      </w:r>
      <w:r w:rsidR="00C73F87" w:rsidRPr="00643422">
        <w:rPr>
          <w:rFonts w:ascii="Times New Roman" w:hAnsi="Times New Roman" w:cs="Times New Roman"/>
          <w:color w:val="000000" w:themeColor="text1"/>
          <w:sz w:val="20"/>
          <w:szCs w:val="20"/>
        </w:rPr>
        <w:t xml:space="preserve">usa testes linguísticos de constituência </w:t>
      </w:r>
      <w:r w:rsidR="00077F6E" w:rsidRPr="00643422">
        <w:rPr>
          <w:rFonts w:ascii="Times New Roman" w:hAnsi="Times New Roman" w:cs="Times New Roman"/>
          <w:color w:val="000000" w:themeColor="text1"/>
          <w:sz w:val="20"/>
          <w:szCs w:val="20"/>
        </w:rPr>
        <w:t>para</w:t>
      </w:r>
      <w:r w:rsidR="00C73F87" w:rsidRPr="00643422">
        <w:rPr>
          <w:rFonts w:ascii="Times New Roman" w:hAnsi="Times New Roman" w:cs="Times New Roman"/>
          <w:color w:val="000000" w:themeColor="text1"/>
          <w:sz w:val="20"/>
          <w:szCs w:val="20"/>
        </w:rPr>
        <w:t xml:space="preserve"> substituição, permutação e coordenação </w:t>
      </w:r>
      <w:r w:rsidR="00077F6E" w:rsidRPr="00643422">
        <w:rPr>
          <w:rFonts w:ascii="Times New Roman" w:hAnsi="Times New Roman" w:cs="Times New Roman"/>
          <w:color w:val="000000" w:themeColor="text1"/>
          <w:sz w:val="20"/>
          <w:szCs w:val="20"/>
        </w:rPr>
        <w:t xml:space="preserve">dos três conceitos. </w:t>
      </w:r>
      <w:r w:rsidR="00714072" w:rsidRPr="00643422">
        <w:rPr>
          <w:rFonts w:ascii="Times New Roman" w:hAnsi="Times New Roman" w:cs="Times New Roman"/>
          <w:color w:val="000000" w:themeColor="text1"/>
          <w:sz w:val="20"/>
          <w:szCs w:val="20"/>
        </w:rPr>
        <w:t xml:space="preserve">Argumenta que </w:t>
      </w:r>
      <w:r w:rsidR="0061685B" w:rsidRPr="00643422">
        <w:rPr>
          <w:rFonts w:ascii="Times New Roman" w:hAnsi="Times New Roman" w:cs="Times New Roman"/>
          <w:color w:val="000000" w:themeColor="text1"/>
          <w:sz w:val="20"/>
          <w:szCs w:val="20"/>
        </w:rPr>
        <w:t>o resultado da reflex</w:t>
      </w:r>
      <w:r w:rsidR="00531166" w:rsidRPr="00643422">
        <w:rPr>
          <w:rFonts w:ascii="Times New Roman" w:hAnsi="Times New Roman" w:cs="Times New Roman"/>
          <w:color w:val="000000" w:themeColor="text1"/>
          <w:sz w:val="20"/>
          <w:szCs w:val="20"/>
        </w:rPr>
        <w:t xml:space="preserve">ão mostra </w:t>
      </w:r>
      <w:r w:rsidR="00054730" w:rsidRPr="00643422">
        <w:rPr>
          <w:rFonts w:ascii="Times New Roman" w:hAnsi="Times New Roman" w:cs="Times New Roman"/>
          <w:color w:val="000000" w:themeColor="text1"/>
          <w:sz w:val="20"/>
          <w:szCs w:val="20"/>
        </w:rPr>
        <w:t>divergência</w:t>
      </w:r>
      <w:r w:rsidR="00531166" w:rsidRPr="00643422">
        <w:rPr>
          <w:rFonts w:ascii="Times New Roman" w:hAnsi="Times New Roman" w:cs="Times New Roman"/>
          <w:color w:val="000000" w:themeColor="text1"/>
          <w:sz w:val="20"/>
          <w:szCs w:val="20"/>
        </w:rPr>
        <w:t xml:space="preserve"> de premissas e convergência de objetivos. Isto </w:t>
      </w:r>
      <w:r w:rsidRPr="00643422">
        <w:rPr>
          <w:rFonts w:ascii="Times New Roman" w:hAnsi="Times New Roman" w:cs="Times New Roman"/>
          <w:color w:val="000000" w:themeColor="text1"/>
          <w:sz w:val="20"/>
          <w:szCs w:val="20"/>
        </w:rPr>
        <w:t xml:space="preserve">decorre principalmente da influência das premissas platonistas do discurso de perfeição </w:t>
      </w:r>
      <w:r w:rsidR="00F6361F" w:rsidRPr="00643422">
        <w:rPr>
          <w:rFonts w:ascii="Times New Roman" w:hAnsi="Times New Roman" w:cs="Times New Roman"/>
          <w:color w:val="000000" w:themeColor="text1"/>
          <w:sz w:val="20"/>
          <w:szCs w:val="20"/>
        </w:rPr>
        <w:t>dos números e aristotélicas</w:t>
      </w:r>
      <w:r w:rsidR="00B72F08" w:rsidRPr="00643422">
        <w:rPr>
          <w:rFonts w:ascii="Times New Roman" w:hAnsi="Times New Roman" w:cs="Times New Roman"/>
          <w:color w:val="000000" w:themeColor="text1"/>
          <w:sz w:val="20"/>
          <w:szCs w:val="20"/>
        </w:rPr>
        <w:t>,</w:t>
      </w:r>
      <w:r w:rsidRPr="00643422">
        <w:rPr>
          <w:rFonts w:ascii="Times New Roman" w:hAnsi="Times New Roman" w:cs="Times New Roman"/>
          <w:color w:val="000000" w:themeColor="text1"/>
          <w:sz w:val="20"/>
          <w:szCs w:val="20"/>
        </w:rPr>
        <w:t xml:space="preserve"> da primazia do alfabeto como tradução do pensamento. Faz a crítica dessas ótica </w:t>
      </w:r>
      <w:r w:rsidR="00B160C4" w:rsidRPr="00643422">
        <w:rPr>
          <w:rFonts w:ascii="Times New Roman" w:hAnsi="Times New Roman" w:cs="Times New Roman"/>
          <w:color w:val="000000" w:themeColor="text1"/>
          <w:sz w:val="20"/>
          <w:szCs w:val="20"/>
        </w:rPr>
        <w:t xml:space="preserve">ao </w:t>
      </w:r>
      <w:r w:rsidRPr="00643422">
        <w:rPr>
          <w:rFonts w:ascii="Times New Roman" w:hAnsi="Times New Roman" w:cs="Times New Roman"/>
          <w:color w:val="000000" w:themeColor="text1"/>
          <w:sz w:val="20"/>
          <w:szCs w:val="20"/>
        </w:rPr>
        <w:t>mostrar</w:t>
      </w:r>
      <w:r w:rsidR="00B160C4" w:rsidRPr="00643422">
        <w:rPr>
          <w:rFonts w:ascii="Times New Roman" w:hAnsi="Times New Roman" w:cs="Times New Roman"/>
          <w:color w:val="000000" w:themeColor="text1"/>
          <w:sz w:val="20"/>
          <w:szCs w:val="20"/>
        </w:rPr>
        <w:t xml:space="preserve"> </w:t>
      </w:r>
      <w:r w:rsidRPr="00643422">
        <w:rPr>
          <w:rFonts w:ascii="Times New Roman" w:hAnsi="Times New Roman" w:cs="Times New Roman"/>
          <w:color w:val="000000" w:themeColor="text1"/>
          <w:sz w:val="20"/>
          <w:szCs w:val="20"/>
        </w:rPr>
        <w:t>a separação ideológica entre natureza e cultura</w:t>
      </w:r>
      <w:r w:rsidR="00004A1A" w:rsidRPr="00643422">
        <w:rPr>
          <w:rFonts w:ascii="Times New Roman" w:hAnsi="Times New Roman" w:cs="Times New Roman"/>
          <w:color w:val="000000" w:themeColor="text1"/>
          <w:sz w:val="20"/>
          <w:szCs w:val="20"/>
        </w:rPr>
        <w:t xml:space="preserve"> e</w:t>
      </w:r>
      <w:r w:rsidR="002830CB" w:rsidRPr="00643422">
        <w:rPr>
          <w:rFonts w:ascii="Times New Roman" w:hAnsi="Times New Roman" w:cs="Times New Roman"/>
          <w:color w:val="000000" w:themeColor="text1"/>
          <w:sz w:val="20"/>
          <w:szCs w:val="20"/>
        </w:rPr>
        <w:t xml:space="preserve"> as materialidades não verbais e o pensamento.</w:t>
      </w:r>
      <w:r w:rsidR="00004A1A" w:rsidRPr="00643422">
        <w:rPr>
          <w:rFonts w:ascii="Times New Roman" w:hAnsi="Times New Roman" w:cs="Times New Roman"/>
          <w:color w:val="000000" w:themeColor="text1"/>
          <w:sz w:val="20"/>
          <w:szCs w:val="20"/>
        </w:rPr>
        <w:t xml:space="preserve"> </w:t>
      </w:r>
    </w:p>
    <w:p w14:paraId="25E38583" w14:textId="394B62A0" w:rsidR="00144D0D" w:rsidRPr="00643422" w:rsidRDefault="009D681D" w:rsidP="00127232">
      <w:pPr>
        <w:jc w:val="both"/>
        <w:rPr>
          <w:rFonts w:ascii="Times New Roman" w:hAnsi="Times New Roman" w:cs="Times New Roman"/>
          <w:color w:val="000000" w:themeColor="text1"/>
          <w:sz w:val="20"/>
          <w:szCs w:val="20"/>
        </w:rPr>
      </w:pPr>
      <w:r w:rsidRPr="00643422">
        <w:rPr>
          <w:rFonts w:ascii="Times New Roman" w:hAnsi="Times New Roman" w:cs="Times New Roman"/>
          <w:color w:val="000000" w:themeColor="text1"/>
          <w:sz w:val="20"/>
          <w:szCs w:val="20"/>
        </w:rPr>
        <w:t xml:space="preserve"> </w:t>
      </w:r>
    </w:p>
    <w:p w14:paraId="2485B7C0" w14:textId="2A70E770" w:rsidR="00144D0D" w:rsidRPr="00643422" w:rsidRDefault="00144D0D" w:rsidP="00127232">
      <w:pPr>
        <w:widowControl w:val="0"/>
        <w:autoSpaceDE w:val="0"/>
        <w:autoSpaceDN w:val="0"/>
        <w:adjustRightInd w:val="0"/>
        <w:jc w:val="both"/>
        <w:rPr>
          <w:rFonts w:ascii="Times New Roman" w:hAnsi="Times New Roman" w:cs="Times New Roman"/>
          <w:color w:val="000000" w:themeColor="text1"/>
        </w:rPr>
      </w:pPr>
      <w:r w:rsidRPr="00643422">
        <w:rPr>
          <w:rFonts w:ascii="Times New Roman" w:hAnsi="Times New Roman" w:cs="Times New Roman"/>
          <w:b/>
          <w:bCs/>
          <w:color w:val="000000" w:themeColor="text1"/>
        </w:rPr>
        <w:t>Palavras-chave:</w:t>
      </w:r>
      <w:r w:rsidR="009D681D" w:rsidRPr="00643422">
        <w:rPr>
          <w:rFonts w:ascii="Times New Roman" w:hAnsi="Times New Roman" w:cs="Times New Roman"/>
          <w:b/>
          <w:bCs/>
          <w:color w:val="000000" w:themeColor="text1"/>
        </w:rPr>
        <w:t xml:space="preserve"> </w:t>
      </w:r>
      <w:r w:rsidR="00EA509F" w:rsidRPr="00643422">
        <w:rPr>
          <w:rFonts w:ascii="Times New Roman" w:hAnsi="Times New Roman" w:cs="Times New Roman"/>
          <w:bCs/>
          <w:color w:val="000000" w:themeColor="text1"/>
          <w:sz w:val="20"/>
          <w:szCs w:val="20"/>
        </w:rPr>
        <w:t>Etnomatemática</w:t>
      </w:r>
      <w:r w:rsidR="005C27B0" w:rsidRPr="00643422">
        <w:rPr>
          <w:rFonts w:ascii="Times New Roman" w:hAnsi="Times New Roman" w:cs="Times New Roman"/>
          <w:bCs/>
          <w:color w:val="000000" w:themeColor="text1"/>
          <w:sz w:val="20"/>
          <w:szCs w:val="20"/>
        </w:rPr>
        <w:t>. cultura. linguagem. tecnologia. tecnografia</w:t>
      </w:r>
    </w:p>
    <w:p w14:paraId="362844A9" w14:textId="77777777" w:rsidR="00144D0D" w:rsidRPr="00643422" w:rsidRDefault="00144D0D" w:rsidP="00127232">
      <w:pPr>
        <w:jc w:val="both"/>
        <w:rPr>
          <w:rFonts w:ascii="Times New Roman" w:hAnsi="Times New Roman" w:cs="Times New Roman"/>
          <w:color w:val="000000" w:themeColor="text1"/>
        </w:rPr>
      </w:pPr>
    </w:p>
    <w:p w14:paraId="41DEDCAA" w14:textId="77777777" w:rsidR="00144D0D" w:rsidRPr="00643422" w:rsidRDefault="00144D0D" w:rsidP="00127232">
      <w:pPr>
        <w:jc w:val="both"/>
        <w:rPr>
          <w:rFonts w:ascii="Times New Roman" w:hAnsi="Times New Roman" w:cs="Times New Roman"/>
          <w:color w:val="000000" w:themeColor="text1"/>
        </w:rPr>
      </w:pPr>
    </w:p>
    <w:p w14:paraId="1DC4345C" w14:textId="4617ABCD" w:rsidR="00144D0D" w:rsidRPr="00643422" w:rsidRDefault="00144D0D" w:rsidP="00127232">
      <w:pPr>
        <w:jc w:val="both"/>
        <w:rPr>
          <w:rFonts w:ascii="Times New Roman" w:hAnsi="Times New Roman" w:cs="Times New Roman"/>
          <w:b/>
          <w:color w:val="000000" w:themeColor="text1"/>
        </w:rPr>
      </w:pPr>
      <w:r w:rsidRPr="00643422">
        <w:rPr>
          <w:rFonts w:ascii="Times New Roman" w:hAnsi="Times New Roman" w:cs="Times New Roman"/>
          <w:b/>
          <w:color w:val="000000" w:themeColor="text1"/>
        </w:rPr>
        <w:t>Abstract</w:t>
      </w:r>
    </w:p>
    <w:p w14:paraId="1526A720" w14:textId="055CB8EE" w:rsidR="009203EE" w:rsidRPr="00643422" w:rsidRDefault="00F73ED0" w:rsidP="001B7EE6">
      <w:pPr>
        <w:jc w:val="both"/>
        <w:rPr>
          <w:rFonts w:ascii="Times New Roman" w:hAnsi="Times New Roman" w:cs="Times New Roman"/>
          <w:color w:val="000000" w:themeColor="text1"/>
          <w:sz w:val="20"/>
          <w:szCs w:val="20"/>
          <w:lang w:val="en-US"/>
        </w:rPr>
      </w:pPr>
      <w:r w:rsidRPr="00643422">
        <w:rPr>
          <w:rFonts w:ascii="Times New Roman" w:hAnsi="Times New Roman" w:cs="Times New Roman"/>
          <w:color w:val="000000" w:themeColor="text1"/>
          <w:sz w:val="20"/>
          <w:szCs w:val="20"/>
          <w:lang w:val="en-US"/>
        </w:rPr>
        <w:t xml:space="preserve">This text </w:t>
      </w:r>
      <w:r w:rsidR="00415506" w:rsidRPr="00643422">
        <w:rPr>
          <w:rFonts w:ascii="Times New Roman" w:hAnsi="Times New Roman" w:cs="Times New Roman"/>
          <w:color w:val="000000" w:themeColor="text1"/>
          <w:sz w:val="20"/>
          <w:szCs w:val="20"/>
          <w:lang w:val="en-US"/>
        </w:rPr>
        <w:t xml:space="preserve">is a terminological </w:t>
      </w:r>
      <w:r w:rsidRPr="00643422">
        <w:rPr>
          <w:rFonts w:ascii="Times New Roman" w:hAnsi="Times New Roman" w:cs="Times New Roman"/>
          <w:color w:val="000000" w:themeColor="text1"/>
          <w:sz w:val="20"/>
          <w:szCs w:val="20"/>
          <w:lang w:val="en-US"/>
        </w:rPr>
        <w:t xml:space="preserve">reflection about the concepts of culture, </w:t>
      </w:r>
      <w:r w:rsidR="00C047D3" w:rsidRPr="00643422">
        <w:rPr>
          <w:rFonts w:ascii="Times New Roman" w:hAnsi="Times New Roman" w:cs="Times New Roman"/>
          <w:color w:val="000000" w:themeColor="text1"/>
          <w:sz w:val="20"/>
          <w:szCs w:val="20"/>
          <w:lang w:val="en-US"/>
        </w:rPr>
        <w:t>language,</w:t>
      </w:r>
      <w:r w:rsidRPr="00643422">
        <w:rPr>
          <w:rFonts w:ascii="Times New Roman" w:hAnsi="Times New Roman" w:cs="Times New Roman"/>
          <w:color w:val="000000" w:themeColor="text1"/>
          <w:sz w:val="20"/>
          <w:szCs w:val="20"/>
          <w:lang w:val="en-US"/>
        </w:rPr>
        <w:t xml:space="preserve"> and technology</w:t>
      </w:r>
      <w:r w:rsidR="00884E96" w:rsidRPr="00643422">
        <w:rPr>
          <w:rFonts w:ascii="Times New Roman" w:hAnsi="Times New Roman" w:cs="Times New Roman"/>
          <w:color w:val="000000" w:themeColor="text1"/>
          <w:sz w:val="20"/>
          <w:szCs w:val="20"/>
          <w:lang w:val="en-US"/>
        </w:rPr>
        <w:t xml:space="preserve">. It develops </w:t>
      </w:r>
      <w:r w:rsidR="00C047D3" w:rsidRPr="00643422">
        <w:rPr>
          <w:rFonts w:ascii="Times New Roman" w:hAnsi="Times New Roman" w:cs="Times New Roman"/>
          <w:color w:val="000000" w:themeColor="text1"/>
          <w:sz w:val="20"/>
          <w:szCs w:val="20"/>
          <w:lang w:val="en-US"/>
        </w:rPr>
        <w:t xml:space="preserve">the comprehension of language, image and number relations </w:t>
      </w:r>
      <w:r w:rsidR="00B057D0" w:rsidRPr="00643422">
        <w:rPr>
          <w:rFonts w:ascii="Times New Roman" w:hAnsi="Times New Roman" w:cs="Times New Roman"/>
          <w:color w:val="000000" w:themeColor="text1"/>
          <w:sz w:val="20"/>
          <w:szCs w:val="20"/>
          <w:lang w:val="en-US"/>
        </w:rPr>
        <w:t>initiated by the discursive</w:t>
      </w:r>
      <w:r w:rsidR="009203EE" w:rsidRPr="00643422">
        <w:rPr>
          <w:rFonts w:ascii="Times New Roman" w:hAnsi="Times New Roman" w:cs="Times New Roman"/>
          <w:color w:val="000000" w:themeColor="text1"/>
          <w:sz w:val="20"/>
          <w:szCs w:val="20"/>
          <w:lang w:val="en-US"/>
        </w:rPr>
        <w:t xml:space="preserve"> </w:t>
      </w:r>
      <w:r w:rsidR="00B057D0" w:rsidRPr="00643422">
        <w:rPr>
          <w:rFonts w:ascii="Times New Roman" w:hAnsi="Times New Roman" w:cs="Times New Roman"/>
          <w:color w:val="000000" w:themeColor="text1"/>
          <w:sz w:val="20"/>
          <w:szCs w:val="20"/>
          <w:lang w:val="en-US"/>
        </w:rPr>
        <w:t>analysis the Brazilian</w:t>
      </w:r>
      <w:r w:rsidR="00B057D0" w:rsidRPr="00643422">
        <w:rPr>
          <w:rFonts w:ascii="Times New Roman" w:hAnsi="Times New Roman" w:cs="Times New Roman"/>
          <w:color w:val="000000" w:themeColor="text1"/>
          <w:sz w:val="20"/>
          <w:szCs w:val="20"/>
        </w:rPr>
        <w:t xml:space="preserve"> </w:t>
      </w:r>
      <w:r w:rsidR="00435CBC" w:rsidRPr="00643422">
        <w:rPr>
          <w:rFonts w:ascii="Times New Roman" w:hAnsi="Times New Roman" w:cs="Times New Roman"/>
          <w:color w:val="000000" w:themeColor="text1"/>
          <w:sz w:val="20"/>
          <w:szCs w:val="20"/>
        </w:rPr>
        <w:t xml:space="preserve"> </w:t>
      </w:r>
      <w:r w:rsidR="00B057D0" w:rsidRPr="00643422">
        <w:rPr>
          <w:rFonts w:ascii="Times New Roman" w:hAnsi="Times New Roman" w:cs="Times New Roman"/>
          <w:color w:val="000000" w:themeColor="text1"/>
          <w:sz w:val="20"/>
          <w:szCs w:val="20"/>
        </w:rPr>
        <w:t>Olimpíada de Matemátic</w:t>
      </w:r>
      <w:r w:rsidR="00B057D0" w:rsidRPr="00643422">
        <w:rPr>
          <w:rFonts w:ascii="Times New Roman" w:hAnsi="Times New Roman" w:cs="Times New Roman"/>
          <w:color w:val="000000" w:themeColor="text1"/>
          <w:sz w:val="20"/>
          <w:szCs w:val="20"/>
          <w:lang w:val="en-US"/>
        </w:rPr>
        <w:t xml:space="preserve">a das Escolas Públicas, OBMEP </w:t>
      </w:r>
      <w:r w:rsidR="00D02048" w:rsidRPr="00643422">
        <w:rPr>
          <w:rFonts w:ascii="Times New Roman" w:hAnsi="Times New Roman" w:cs="Times New Roman"/>
          <w:color w:val="000000" w:themeColor="text1"/>
          <w:sz w:val="20"/>
          <w:szCs w:val="20"/>
          <w:lang w:val="en-US"/>
        </w:rPr>
        <w:t xml:space="preserve">(Brazilian Public Schools Mathematics Olympiad) </w:t>
      </w:r>
      <w:r w:rsidR="00B057D0" w:rsidRPr="00643422">
        <w:rPr>
          <w:rFonts w:ascii="Times New Roman" w:hAnsi="Times New Roman" w:cs="Times New Roman"/>
          <w:color w:val="000000" w:themeColor="text1"/>
          <w:sz w:val="20"/>
          <w:szCs w:val="20"/>
          <w:lang w:val="en-US"/>
        </w:rPr>
        <w:t>(LOURENÇO, 2015)</w:t>
      </w:r>
      <w:r w:rsidR="00D02048" w:rsidRPr="00643422">
        <w:rPr>
          <w:rFonts w:ascii="Times New Roman" w:hAnsi="Times New Roman" w:cs="Times New Roman"/>
          <w:color w:val="000000" w:themeColor="text1"/>
          <w:sz w:val="20"/>
          <w:szCs w:val="20"/>
          <w:lang w:val="en-US"/>
        </w:rPr>
        <w:t xml:space="preserve"> The methodological approach </w:t>
      </w:r>
      <w:r w:rsidR="00FB0310" w:rsidRPr="00643422">
        <w:rPr>
          <w:rFonts w:ascii="Times New Roman" w:hAnsi="Times New Roman" w:cs="Times New Roman"/>
          <w:color w:val="000000" w:themeColor="text1"/>
          <w:sz w:val="20"/>
          <w:szCs w:val="20"/>
          <w:lang w:val="en-US"/>
        </w:rPr>
        <w:t xml:space="preserve">adopted linguistic tests of constituency for the substitution, permutation and coordination </w:t>
      </w:r>
      <w:r w:rsidR="00265ADE" w:rsidRPr="00643422">
        <w:rPr>
          <w:rFonts w:ascii="Times New Roman" w:hAnsi="Times New Roman" w:cs="Times New Roman"/>
          <w:color w:val="000000" w:themeColor="text1"/>
          <w:sz w:val="20"/>
          <w:szCs w:val="20"/>
          <w:lang w:val="en-US"/>
        </w:rPr>
        <w:t xml:space="preserve">of the </w:t>
      </w:r>
      <w:r w:rsidR="003845C9" w:rsidRPr="00643422">
        <w:rPr>
          <w:rFonts w:ascii="Times New Roman" w:hAnsi="Times New Roman" w:cs="Times New Roman"/>
          <w:color w:val="000000" w:themeColor="text1"/>
          <w:sz w:val="20"/>
          <w:szCs w:val="20"/>
          <w:lang w:val="en-US"/>
        </w:rPr>
        <w:t>three</w:t>
      </w:r>
      <w:r w:rsidR="00265ADE" w:rsidRPr="00643422">
        <w:rPr>
          <w:rFonts w:ascii="Times New Roman" w:hAnsi="Times New Roman" w:cs="Times New Roman"/>
          <w:color w:val="000000" w:themeColor="text1"/>
          <w:sz w:val="20"/>
          <w:szCs w:val="20"/>
          <w:lang w:val="en-US"/>
        </w:rPr>
        <w:t xml:space="preserve"> concepts. It takes the case for showing that the </w:t>
      </w:r>
      <w:r w:rsidR="003845C9" w:rsidRPr="00643422">
        <w:rPr>
          <w:rFonts w:ascii="Times New Roman" w:hAnsi="Times New Roman" w:cs="Times New Roman"/>
          <w:color w:val="000000" w:themeColor="text1"/>
          <w:sz w:val="20"/>
          <w:szCs w:val="20"/>
          <w:lang w:val="en-US"/>
        </w:rPr>
        <w:t>result</w:t>
      </w:r>
      <w:r w:rsidR="00265ADE" w:rsidRPr="00643422">
        <w:rPr>
          <w:rFonts w:ascii="Times New Roman" w:hAnsi="Times New Roman" w:cs="Times New Roman"/>
          <w:color w:val="000000" w:themeColor="text1"/>
          <w:sz w:val="20"/>
          <w:szCs w:val="20"/>
          <w:lang w:val="en-US"/>
        </w:rPr>
        <w:t xml:space="preserve"> f such </w:t>
      </w:r>
      <w:r w:rsidR="003845C9" w:rsidRPr="00643422">
        <w:rPr>
          <w:rFonts w:ascii="Times New Roman" w:hAnsi="Times New Roman" w:cs="Times New Roman"/>
          <w:color w:val="000000" w:themeColor="text1"/>
          <w:sz w:val="20"/>
          <w:szCs w:val="20"/>
          <w:lang w:val="en-US"/>
        </w:rPr>
        <w:t>reflection</w:t>
      </w:r>
      <w:r w:rsidR="00265ADE" w:rsidRPr="00643422">
        <w:rPr>
          <w:rFonts w:ascii="Times New Roman" w:hAnsi="Times New Roman" w:cs="Times New Roman"/>
          <w:color w:val="000000" w:themeColor="text1"/>
          <w:sz w:val="20"/>
          <w:szCs w:val="20"/>
          <w:lang w:val="en-US"/>
        </w:rPr>
        <w:t xml:space="preserve"> is to show </w:t>
      </w:r>
      <w:r w:rsidR="007613DB" w:rsidRPr="00643422">
        <w:rPr>
          <w:rFonts w:ascii="Times New Roman" w:hAnsi="Times New Roman" w:cs="Times New Roman"/>
          <w:color w:val="000000" w:themeColor="text1"/>
          <w:sz w:val="20"/>
          <w:szCs w:val="20"/>
          <w:lang w:val="en-US"/>
        </w:rPr>
        <w:t xml:space="preserve">the divergences of </w:t>
      </w:r>
      <w:r w:rsidR="003845C9" w:rsidRPr="00643422">
        <w:rPr>
          <w:rFonts w:ascii="Times New Roman" w:hAnsi="Times New Roman" w:cs="Times New Roman"/>
          <w:color w:val="000000" w:themeColor="text1"/>
          <w:sz w:val="20"/>
          <w:szCs w:val="20"/>
          <w:lang w:val="en-US"/>
        </w:rPr>
        <w:t>premises</w:t>
      </w:r>
      <w:r w:rsidR="007613DB" w:rsidRPr="00643422">
        <w:rPr>
          <w:rFonts w:ascii="Times New Roman" w:hAnsi="Times New Roman" w:cs="Times New Roman"/>
          <w:color w:val="000000" w:themeColor="text1"/>
          <w:sz w:val="20"/>
          <w:szCs w:val="20"/>
          <w:lang w:val="en-US"/>
        </w:rPr>
        <w:t xml:space="preserve"> and the convergence of objectives.</w:t>
      </w:r>
      <w:r w:rsidR="009203EE" w:rsidRPr="00643422">
        <w:rPr>
          <w:rFonts w:ascii="Times New Roman" w:hAnsi="Times New Roman" w:cs="Times New Roman"/>
          <w:color w:val="000000" w:themeColor="text1"/>
          <w:sz w:val="20"/>
          <w:szCs w:val="20"/>
          <w:lang w:val="en-US"/>
        </w:rPr>
        <w:t xml:space="preserve"> </w:t>
      </w:r>
      <w:r w:rsidR="001B7EE6" w:rsidRPr="00643422">
        <w:rPr>
          <w:rFonts w:ascii="Times New Roman" w:hAnsi="Times New Roman" w:cs="Times New Roman"/>
          <w:color w:val="000000" w:themeColor="text1"/>
          <w:sz w:val="20"/>
          <w:szCs w:val="20"/>
          <w:lang w:val="en-US"/>
        </w:rPr>
        <w:t>This stems mainly</w:t>
      </w:r>
      <w:r w:rsidR="005E7DAA" w:rsidRPr="00643422">
        <w:rPr>
          <w:rFonts w:ascii="Times New Roman" w:hAnsi="Times New Roman" w:cs="Times New Roman"/>
          <w:color w:val="000000" w:themeColor="text1"/>
          <w:sz w:val="20"/>
          <w:szCs w:val="20"/>
          <w:lang w:val="en-US"/>
        </w:rPr>
        <w:t xml:space="preserve"> from</w:t>
      </w:r>
      <w:r w:rsidR="001B7EE6" w:rsidRPr="00643422">
        <w:rPr>
          <w:rFonts w:ascii="Times New Roman" w:hAnsi="Times New Roman" w:cs="Times New Roman"/>
          <w:color w:val="000000" w:themeColor="text1"/>
          <w:sz w:val="20"/>
          <w:szCs w:val="20"/>
          <w:lang w:val="en-US"/>
        </w:rPr>
        <w:t xml:space="preserve"> </w:t>
      </w:r>
      <w:r w:rsidR="005E7DAA" w:rsidRPr="00643422">
        <w:rPr>
          <w:rFonts w:ascii="Times New Roman" w:hAnsi="Times New Roman" w:cs="Times New Roman"/>
          <w:color w:val="000000" w:themeColor="text1"/>
          <w:sz w:val="20"/>
          <w:szCs w:val="20"/>
          <w:lang w:val="en-US"/>
        </w:rPr>
        <w:t xml:space="preserve">Platonist </w:t>
      </w:r>
      <w:r w:rsidR="001B7EE6" w:rsidRPr="00643422">
        <w:rPr>
          <w:rFonts w:ascii="Times New Roman" w:hAnsi="Times New Roman" w:cs="Times New Roman"/>
          <w:color w:val="000000" w:themeColor="text1"/>
          <w:sz w:val="20"/>
          <w:szCs w:val="20"/>
          <w:lang w:val="en-US"/>
        </w:rPr>
        <w:t>influences</w:t>
      </w:r>
      <w:r w:rsidR="005E7DAA" w:rsidRPr="00643422">
        <w:rPr>
          <w:rFonts w:ascii="Times New Roman" w:hAnsi="Times New Roman" w:cs="Times New Roman"/>
          <w:color w:val="000000" w:themeColor="text1"/>
          <w:sz w:val="20"/>
          <w:szCs w:val="20"/>
          <w:lang w:val="en-US"/>
        </w:rPr>
        <w:t xml:space="preserve"> of the truth as discourse </w:t>
      </w:r>
      <w:r w:rsidR="00BF12A2" w:rsidRPr="00643422">
        <w:rPr>
          <w:rFonts w:ascii="Times New Roman" w:hAnsi="Times New Roman" w:cs="Times New Roman"/>
          <w:color w:val="000000" w:themeColor="text1"/>
          <w:sz w:val="20"/>
          <w:szCs w:val="20"/>
          <w:lang w:val="en-US"/>
        </w:rPr>
        <w:t xml:space="preserve">and Aristotelian of the word as the natural pattern for thought. It critics such </w:t>
      </w:r>
      <w:r w:rsidR="00B91E76" w:rsidRPr="00643422">
        <w:rPr>
          <w:rFonts w:ascii="Times New Roman" w:hAnsi="Times New Roman" w:cs="Times New Roman"/>
          <w:color w:val="000000" w:themeColor="text1"/>
          <w:sz w:val="20"/>
          <w:szCs w:val="20"/>
          <w:lang w:val="en-US"/>
        </w:rPr>
        <w:t xml:space="preserve">point of view </w:t>
      </w:r>
      <w:r w:rsidR="00B160C4" w:rsidRPr="00643422">
        <w:rPr>
          <w:rFonts w:ascii="Times New Roman" w:hAnsi="Times New Roman" w:cs="Times New Roman"/>
          <w:color w:val="000000" w:themeColor="text1"/>
          <w:sz w:val="20"/>
          <w:szCs w:val="20"/>
          <w:lang w:val="en-US"/>
        </w:rPr>
        <w:t>by</w:t>
      </w:r>
      <w:r w:rsidR="00B91E76" w:rsidRPr="00643422">
        <w:rPr>
          <w:rFonts w:ascii="Times New Roman" w:hAnsi="Times New Roman" w:cs="Times New Roman"/>
          <w:color w:val="000000" w:themeColor="text1"/>
          <w:sz w:val="20"/>
          <w:szCs w:val="20"/>
          <w:lang w:val="en-US"/>
        </w:rPr>
        <w:t xml:space="preserve"> showing </w:t>
      </w:r>
      <w:r w:rsidR="00B160C4" w:rsidRPr="00643422">
        <w:rPr>
          <w:rFonts w:ascii="Times New Roman" w:hAnsi="Times New Roman" w:cs="Times New Roman"/>
          <w:color w:val="000000" w:themeColor="text1"/>
          <w:sz w:val="20"/>
          <w:szCs w:val="20"/>
          <w:lang w:val="en-US"/>
        </w:rPr>
        <w:t xml:space="preserve">it ideology </w:t>
      </w:r>
      <w:r w:rsidR="002F030A" w:rsidRPr="00643422">
        <w:rPr>
          <w:rFonts w:ascii="Times New Roman" w:hAnsi="Times New Roman" w:cs="Times New Roman"/>
          <w:color w:val="000000" w:themeColor="text1"/>
          <w:sz w:val="20"/>
          <w:szCs w:val="20"/>
          <w:lang w:val="en-US"/>
        </w:rPr>
        <w:t xml:space="preserve">of division </w:t>
      </w:r>
      <w:r w:rsidR="00B91E76" w:rsidRPr="00643422">
        <w:rPr>
          <w:rFonts w:ascii="Times New Roman" w:hAnsi="Times New Roman" w:cs="Times New Roman"/>
          <w:color w:val="000000" w:themeColor="text1"/>
          <w:sz w:val="20"/>
          <w:szCs w:val="20"/>
          <w:lang w:val="en-US"/>
        </w:rPr>
        <w:t xml:space="preserve">over culture and nature </w:t>
      </w:r>
      <w:r w:rsidR="00CC33B2" w:rsidRPr="00643422">
        <w:rPr>
          <w:rFonts w:ascii="Times New Roman" w:hAnsi="Times New Roman" w:cs="Times New Roman"/>
          <w:color w:val="000000" w:themeColor="text1"/>
          <w:sz w:val="20"/>
          <w:szCs w:val="20"/>
          <w:lang w:val="en-US"/>
        </w:rPr>
        <w:t>a</w:t>
      </w:r>
      <w:r w:rsidR="002F030A" w:rsidRPr="00643422">
        <w:rPr>
          <w:rFonts w:ascii="Times New Roman" w:hAnsi="Times New Roman" w:cs="Times New Roman"/>
          <w:color w:val="000000" w:themeColor="text1"/>
          <w:sz w:val="20"/>
          <w:szCs w:val="20"/>
          <w:lang w:val="en-US"/>
        </w:rPr>
        <w:t>nd</w:t>
      </w:r>
      <w:r w:rsidR="00B91E76" w:rsidRPr="00643422">
        <w:rPr>
          <w:rFonts w:ascii="Times New Roman" w:hAnsi="Times New Roman" w:cs="Times New Roman"/>
          <w:color w:val="000000" w:themeColor="text1"/>
          <w:sz w:val="20"/>
          <w:szCs w:val="20"/>
          <w:lang w:val="en-US"/>
        </w:rPr>
        <w:t xml:space="preserve"> nonverbal immaterialities</w:t>
      </w:r>
      <w:r w:rsidR="002F030A" w:rsidRPr="00643422">
        <w:rPr>
          <w:rFonts w:ascii="Times New Roman" w:hAnsi="Times New Roman" w:cs="Times New Roman"/>
          <w:color w:val="000000" w:themeColor="text1"/>
          <w:sz w:val="20"/>
          <w:szCs w:val="20"/>
          <w:lang w:val="en-US"/>
        </w:rPr>
        <w:t xml:space="preserve"> and thought</w:t>
      </w:r>
      <w:r w:rsidR="00B91E76" w:rsidRPr="00643422">
        <w:rPr>
          <w:rFonts w:ascii="Times New Roman" w:hAnsi="Times New Roman" w:cs="Times New Roman"/>
          <w:color w:val="000000" w:themeColor="text1"/>
          <w:sz w:val="20"/>
          <w:szCs w:val="20"/>
          <w:lang w:val="en-US"/>
        </w:rPr>
        <w:t xml:space="preserve">. </w:t>
      </w:r>
    </w:p>
    <w:p w14:paraId="0B1975A8" w14:textId="77777777" w:rsidR="00144D0D" w:rsidRPr="00643422" w:rsidRDefault="00144D0D" w:rsidP="00127232">
      <w:pPr>
        <w:jc w:val="both"/>
        <w:rPr>
          <w:rFonts w:ascii="Times New Roman" w:hAnsi="Times New Roman" w:cs="Times New Roman"/>
          <w:b/>
          <w:bCs/>
          <w:color w:val="000000" w:themeColor="text1"/>
          <w:lang w:val="en-US"/>
        </w:rPr>
      </w:pPr>
    </w:p>
    <w:p w14:paraId="6AC36567" w14:textId="63F9D615" w:rsidR="00144D0D" w:rsidRPr="00643422" w:rsidRDefault="00144D0D" w:rsidP="00127232">
      <w:pPr>
        <w:jc w:val="both"/>
        <w:rPr>
          <w:rFonts w:ascii="Times New Roman" w:hAnsi="Times New Roman" w:cs="Times New Roman"/>
          <w:bCs/>
          <w:color w:val="000000" w:themeColor="text1"/>
          <w:sz w:val="20"/>
          <w:szCs w:val="20"/>
          <w:lang w:val="en-US"/>
        </w:rPr>
      </w:pPr>
      <w:r w:rsidRPr="00643422">
        <w:rPr>
          <w:rFonts w:ascii="Times New Roman" w:hAnsi="Times New Roman" w:cs="Times New Roman"/>
          <w:b/>
          <w:bCs/>
          <w:color w:val="000000" w:themeColor="text1"/>
          <w:lang w:val="en-US"/>
        </w:rPr>
        <w:t>Keywords</w:t>
      </w:r>
      <w:r w:rsidRPr="00643422">
        <w:rPr>
          <w:rFonts w:ascii="Times New Roman" w:hAnsi="Times New Roman" w:cs="Times New Roman"/>
          <w:bCs/>
          <w:color w:val="000000" w:themeColor="text1"/>
          <w:lang w:val="en-US"/>
        </w:rPr>
        <w:t xml:space="preserve">: </w:t>
      </w:r>
      <w:r w:rsidR="00EA509F" w:rsidRPr="00643422">
        <w:rPr>
          <w:rFonts w:ascii="Times New Roman" w:hAnsi="Times New Roman" w:cs="Times New Roman"/>
          <w:bCs/>
          <w:color w:val="000000" w:themeColor="text1"/>
          <w:sz w:val="20"/>
          <w:szCs w:val="20"/>
          <w:lang w:val="en-US"/>
        </w:rPr>
        <w:t>Ethnomathematics</w:t>
      </w:r>
      <w:r w:rsidR="005C27B0" w:rsidRPr="00643422">
        <w:rPr>
          <w:rFonts w:ascii="Times New Roman" w:hAnsi="Times New Roman" w:cs="Times New Roman"/>
          <w:bCs/>
          <w:color w:val="000000" w:themeColor="text1"/>
          <w:sz w:val="20"/>
          <w:szCs w:val="20"/>
          <w:lang w:val="en-US"/>
        </w:rPr>
        <w:t xml:space="preserve">. culture. language. technology. </w:t>
      </w:r>
      <w:r w:rsidR="00EA509F" w:rsidRPr="00643422">
        <w:rPr>
          <w:rFonts w:ascii="Times New Roman" w:hAnsi="Times New Roman" w:cs="Times New Roman"/>
          <w:bCs/>
          <w:color w:val="000000" w:themeColor="text1"/>
          <w:sz w:val="20"/>
          <w:szCs w:val="20"/>
          <w:lang w:val="en-US"/>
        </w:rPr>
        <w:t>technography</w:t>
      </w:r>
    </w:p>
    <w:p w14:paraId="35C56E10" w14:textId="77777777" w:rsidR="00B62EAF" w:rsidRPr="00643422" w:rsidRDefault="00B62EAF" w:rsidP="00127232">
      <w:pPr>
        <w:jc w:val="both"/>
        <w:rPr>
          <w:rFonts w:ascii="Times New Roman" w:hAnsi="Times New Roman" w:cs="Times New Roman"/>
          <w:b/>
          <w:color w:val="000000" w:themeColor="text1"/>
          <w:sz w:val="20"/>
          <w:szCs w:val="20"/>
          <w:lang w:val="en-US"/>
        </w:rPr>
      </w:pPr>
    </w:p>
    <w:p w14:paraId="18849843" w14:textId="77777777" w:rsidR="008914B3" w:rsidRPr="00643422" w:rsidRDefault="008914B3" w:rsidP="00127232">
      <w:pPr>
        <w:pStyle w:val="Header"/>
        <w:spacing w:line="360" w:lineRule="auto"/>
        <w:jc w:val="both"/>
        <w:rPr>
          <w:rFonts w:ascii="Times New Roman" w:hAnsi="Times New Roman" w:cs="Times New Roman"/>
          <w:b/>
          <w:color w:val="000000" w:themeColor="text1"/>
        </w:rPr>
      </w:pPr>
    </w:p>
    <w:p w14:paraId="6E2776F3" w14:textId="77777777" w:rsidR="00B62EAF" w:rsidRPr="00643422" w:rsidRDefault="00B62EAF" w:rsidP="00127232">
      <w:pPr>
        <w:pStyle w:val="Header"/>
        <w:spacing w:line="360" w:lineRule="auto"/>
        <w:jc w:val="both"/>
        <w:rPr>
          <w:rFonts w:ascii="Times New Roman" w:hAnsi="Times New Roman" w:cs="Times New Roman"/>
          <w:b/>
          <w:color w:val="000000" w:themeColor="text1"/>
        </w:rPr>
      </w:pPr>
    </w:p>
    <w:p w14:paraId="01CB5924" w14:textId="77777777" w:rsidR="00F67353" w:rsidRPr="00643422" w:rsidRDefault="00F67353" w:rsidP="00127232">
      <w:pPr>
        <w:pStyle w:val="Header"/>
        <w:spacing w:line="360" w:lineRule="auto"/>
        <w:jc w:val="both"/>
        <w:rPr>
          <w:rFonts w:ascii="Times New Roman" w:hAnsi="Times New Roman" w:cs="Times New Roman"/>
          <w:b/>
          <w:color w:val="000000" w:themeColor="text1"/>
        </w:rPr>
      </w:pPr>
    </w:p>
    <w:p w14:paraId="71277784" w14:textId="77777777" w:rsidR="00F67353" w:rsidRPr="00643422" w:rsidRDefault="00F67353" w:rsidP="00127232">
      <w:pPr>
        <w:pStyle w:val="Header"/>
        <w:spacing w:line="360" w:lineRule="auto"/>
        <w:jc w:val="both"/>
        <w:rPr>
          <w:rFonts w:ascii="Times New Roman" w:hAnsi="Times New Roman" w:cs="Times New Roman"/>
          <w:b/>
          <w:color w:val="000000" w:themeColor="text1"/>
        </w:rPr>
      </w:pPr>
    </w:p>
    <w:p w14:paraId="12210110" w14:textId="77777777" w:rsidR="00F67353" w:rsidRPr="00643422" w:rsidRDefault="00F67353" w:rsidP="00127232">
      <w:pPr>
        <w:pStyle w:val="Header"/>
        <w:spacing w:line="360" w:lineRule="auto"/>
        <w:jc w:val="both"/>
        <w:rPr>
          <w:rFonts w:ascii="Times New Roman" w:hAnsi="Times New Roman" w:cs="Times New Roman"/>
          <w:b/>
          <w:color w:val="000000" w:themeColor="text1"/>
        </w:rPr>
      </w:pPr>
    </w:p>
    <w:p w14:paraId="173281D4" w14:textId="77777777" w:rsidR="00F67353" w:rsidRPr="00643422" w:rsidRDefault="00F67353" w:rsidP="00127232">
      <w:pPr>
        <w:pStyle w:val="Header"/>
        <w:spacing w:line="360" w:lineRule="auto"/>
        <w:jc w:val="both"/>
        <w:rPr>
          <w:rFonts w:ascii="Times New Roman" w:hAnsi="Times New Roman" w:cs="Times New Roman"/>
          <w:b/>
          <w:color w:val="000000" w:themeColor="text1"/>
        </w:rPr>
      </w:pPr>
    </w:p>
    <w:p w14:paraId="25DE9143" w14:textId="77777777" w:rsidR="00F67353" w:rsidRPr="00643422" w:rsidRDefault="00F67353" w:rsidP="00F67353">
      <w:pPr>
        <w:keepNext/>
        <w:spacing w:line="360" w:lineRule="auto"/>
        <w:jc w:val="both"/>
        <w:outlineLvl w:val="0"/>
        <w:rPr>
          <w:rFonts w:ascii="Times New Roman" w:eastAsia="Calibri" w:hAnsi="Times New Roman" w:cs="Times New Roman"/>
          <w:b/>
          <w:color w:val="000000" w:themeColor="text1"/>
          <w:sz w:val="22"/>
          <w:szCs w:val="22"/>
        </w:rPr>
      </w:pPr>
      <w:r w:rsidRPr="00643422">
        <w:rPr>
          <w:rFonts w:ascii="Times New Roman" w:eastAsia="Calibri" w:hAnsi="Times New Roman" w:cs="Times New Roman"/>
          <w:b/>
          <w:color w:val="000000" w:themeColor="text1"/>
          <w:sz w:val="22"/>
          <w:szCs w:val="22"/>
        </w:rPr>
        <w:lastRenderedPageBreak/>
        <w:t>Introdução</w:t>
      </w:r>
    </w:p>
    <w:p w14:paraId="667778E6"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Este texto busca dialogar com as pesquisas etnomatemáticas sobre a reflexão conceitual dos termos cultura, linguagem e tecnologia. Desenvolve tais temas para compreender as relações da língua, número e imagem iniciadas na análise discursiva dos enunciados da Olimpíada de Matemática das Escolas Públicas, OBMEP (LOURENÇO, 2015). A observação dessas relações como práticas culturais corrobora áreas de estudos da educação matemática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"Pimm", "given" : "David", "non-dropping-particle" : "", "parse-names" : false, "suffix" : "" } ], "container-title" : "Educational Studies in Mathematics", "id" : "ITEM-1", "issued" : { "date-parts" : [ [ "2004" ] ] }, "page" : "1-11", "title" : "Discourse analysis and mathematics education : An anniversary of sorts", "type" : "article-journal" }, "uris" : [ "http://www.mendeley.com/documents/?uuid=b0a23e7b-919f-48b6-974b-445010a8b215" ] }, { "id" : "ITEM-2", "itemData" : { "DOI" : "10.1007/978-3-319-75055-2_2", "ISBN" : "978-3-319-75055-2", "abstract" : "This chapter, based both on pre-ICME-13 conference documents as well as on the author\u2019s actual panel presentation made at TSG 31, covers a range of themes concerned with the issues of \u2018language data\u2019 in mathematics education. It also addresses several instances from its history, including word problems, classroom language and transcription, in addition to the mathematics register, its syntax, semantics and pragmatics.", "author" : [ { "dropping-particle" : "", "family" : "Pimm", "given" : "David", "non-dropping-particle" : "", "parse-names" : false, "suffix" : "" } ], "container-title" : "Language and Communication in Mathematics Education: International Perspectives", "editor" : [ { "dropping-particle" : "", "family" : "Moschkovich", "given" : "Judit N", "non-dropping-particle" : "", "parse-names" : false, "suffix" : "" }, { "dropping-particle" : "", "family" : "Wagner", "given" : "David", "non-dropping-particle" : "", "parse-names" : false, "suffix" : "" }, { "dropping-particle" : "", "family" : "Bose", "given" : "Arindam", "non-dropping-particle" : "", "parse-names" : false, "suffix" : "" }, { "dropping-particle" : "", "family" : "Rodrigues Mendes", "given" : "Jackeline", "non-dropping-particle" : "", "parse-names" : false, "suffix" : "" }, { "dropping-particle" : "", "family" : "Sch\u00fctte", "given" : "Marcus", "non-dropping-particle" : "", "parse-names" : false, "suffix" : "" } ], "id" : "ITEM-2", "issued" : { "date-parts" : [ [ "2018" ] ] }, "page" : "11-23", "publisher" : "Springer International Publishing", "publisher-place" : "Cham", "title" : "Sixty Years (or so) of Language Data in Mathematics Education BT", "type" : "chapter" }, "uris" : [ "http://www.mendeley.com/documents/?uuid=4dc82468-5b35-48c8-b088-dde2feeaa203" ] } ], "mendeley" : { "formattedCitation" : "(PIMM, 2004, 2018)", "plainTextFormattedCitation" : "(PIMM, 2004, 2018)", "previouslyFormattedCitation" : "(PIMM, 2004, 2018)"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(PIMM, 2004, 2018)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que sugerem que as estratégias numéricas compartilham a mesma dimensão de natureza linguística quando em uso discursivo.</w:t>
      </w:r>
    </w:p>
    <w:p w14:paraId="10660D4A"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Um dos pontos da pesquisa observou seletivamente nas notas mais altas, a liberdade de respostas e a variação de técnicas. De modo que o recurso ao compartilhamento da dimensão discursiva acontecia nas respostas mediando a variação de procedimentos tanto numéricos quanto linguísticos. Considere a sequência de enunciados abaixo. São respostas ao item C da questão N1Q12/2012 da OBMEP: Explique por que não é possível cobrir o tabuleiro usando somente peças do tipo B. </w:t>
      </w:r>
    </w:p>
    <w:p w14:paraId="36187B6B" w14:textId="77777777" w:rsidR="00F67353" w:rsidRPr="00643422" w:rsidRDefault="00F67353" w:rsidP="00F67353">
      <w:pPr>
        <w:numPr>
          <w:ilvl w:val="0"/>
          <w:numId w:val="1"/>
        </w:numPr>
        <w:spacing w:after="160" w:line="360" w:lineRule="auto"/>
        <w:contextualSpacing/>
        <w:jc w:val="both"/>
        <w:rPr>
          <w:rFonts w:ascii="Times New Roman" w:eastAsia="Calibri" w:hAnsi="Times New Roman" w:cs="Times New Roman"/>
          <w:color w:val="000000" w:themeColor="text1"/>
          <w:sz w:val="20"/>
          <w:szCs w:val="20"/>
        </w:rPr>
      </w:pPr>
      <w:r w:rsidRPr="00643422">
        <w:rPr>
          <w:rFonts w:ascii="Times New Roman" w:eastAsia="Calibri" w:hAnsi="Times New Roman" w:cs="Times New Roman"/>
          <w:color w:val="000000" w:themeColor="text1"/>
          <w:sz w:val="20"/>
          <w:szCs w:val="20"/>
        </w:rPr>
        <w:t>R= Porque a quantidade não é divisível por 5.</w:t>
      </w:r>
    </w:p>
    <w:p w14:paraId="64437FCD" w14:textId="77777777" w:rsidR="00F67353" w:rsidRPr="00643422" w:rsidRDefault="00F67353" w:rsidP="00F67353">
      <w:pPr>
        <w:numPr>
          <w:ilvl w:val="0"/>
          <w:numId w:val="1"/>
        </w:numPr>
        <w:spacing w:after="160" w:line="360" w:lineRule="auto"/>
        <w:contextualSpacing/>
        <w:jc w:val="both"/>
        <w:rPr>
          <w:rFonts w:ascii="Times New Roman" w:eastAsia="Calibri" w:hAnsi="Times New Roman" w:cs="Times New Roman"/>
          <w:color w:val="000000" w:themeColor="text1"/>
          <w:sz w:val="20"/>
          <w:szCs w:val="20"/>
        </w:rPr>
      </w:pPr>
      <w:r w:rsidRPr="00643422">
        <w:rPr>
          <w:rFonts w:ascii="Times New Roman" w:eastAsia="Calibri" w:hAnsi="Times New Roman" w:cs="Times New Roman"/>
          <w:color w:val="000000" w:themeColor="text1"/>
          <w:sz w:val="20"/>
          <w:szCs w:val="20"/>
        </w:rPr>
        <w:t>R= Porque as peças do tipo B são 5 pecinhas e o tabuleiro é de 4 x 6 = 24 e 24:5 não dá um número exato, mas as peças A que são três pecinhas e as do tipo C que são 4 pecinhas dão porque são divisíveis por 24. 24:3 = 8 e 24:4 =6.</w:t>
      </w:r>
    </w:p>
    <w:p w14:paraId="0C8AC3B4" w14:textId="77777777" w:rsidR="00F67353" w:rsidRPr="00643422" w:rsidRDefault="00F67353" w:rsidP="00F67353">
      <w:pPr>
        <w:numPr>
          <w:ilvl w:val="0"/>
          <w:numId w:val="1"/>
        </w:numPr>
        <w:spacing w:after="160" w:line="360" w:lineRule="auto"/>
        <w:contextualSpacing/>
        <w:jc w:val="both"/>
        <w:rPr>
          <w:rFonts w:ascii="Times New Roman" w:eastAsia="Calibri" w:hAnsi="Times New Roman" w:cs="Times New Roman"/>
          <w:color w:val="000000" w:themeColor="text1"/>
          <w:sz w:val="20"/>
          <w:szCs w:val="20"/>
        </w:rPr>
      </w:pPr>
      <w:r w:rsidRPr="00643422">
        <w:rPr>
          <w:rFonts w:ascii="Times New Roman" w:eastAsia="Calibri" w:hAnsi="Times New Roman" w:cs="Times New Roman"/>
          <w:color w:val="000000" w:themeColor="text1"/>
          <w:sz w:val="20"/>
          <w:szCs w:val="20"/>
        </w:rPr>
        <w:t>Porque ele teria que ter um número de quadradinhos divisíveis por 24 que é o número de quadradinhos no tabuleiro. E as peças B tem 5 quadradinhos e não é divisível por 24.</w:t>
      </w:r>
    </w:p>
    <w:p w14:paraId="428276E7" w14:textId="77777777" w:rsidR="00F67353" w:rsidRPr="00643422" w:rsidRDefault="00F67353" w:rsidP="00F67353">
      <w:pPr>
        <w:numPr>
          <w:ilvl w:val="0"/>
          <w:numId w:val="1"/>
        </w:numPr>
        <w:spacing w:after="160" w:line="360" w:lineRule="auto"/>
        <w:contextualSpacing/>
        <w:jc w:val="both"/>
        <w:rPr>
          <w:rFonts w:ascii="Times New Roman" w:eastAsia="Calibri" w:hAnsi="Times New Roman" w:cs="Times New Roman"/>
          <w:color w:val="000000" w:themeColor="text1"/>
          <w:sz w:val="20"/>
          <w:szCs w:val="20"/>
        </w:rPr>
      </w:pPr>
      <w:r w:rsidRPr="00643422">
        <w:rPr>
          <w:rFonts w:ascii="Times New Roman" w:eastAsia="Calibri" w:hAnsi="Times New Roman" w:cs="Times New Roman"/>
          <w:color w:val="000000" w:themeColor="text1"/>
          <w:sz w:val="20"/>
          <w:szCs w:val="20"/>
        </w:rPr>
        <w:t>Porque o tabuleiro tem 24 quadrados e as peças do tipo B tem 5 quadrados e 24 divido por 5 não é exato.</w:t>
      </w:r>
    </w:p>
    <w:p w14:paraId="221863B2" w14:textId="77777777" w:rsidR="00F67353" w:rsidRPr="00643422" w:rsidRDefault="00F67353" w:rsidP="00F67353">
      <w:pPr>
        <w:numPr>
          <w:ilvl w:val="0"/>
          <w:numId w:val="1"/>
        </w:numPr>
        <w:spacing w:after="160" w:line="360" w:lineRule="auto"/>
        <w:contextualSpacing/>
        <w:jc w:val="both"/>
        <w:rPr>
          <w:rFonts w:ascii="Times New Roman" w:eastAsia="Calibri" w:hAnsi="Times New Roman" w:cs="Times New Roman"/>
          <w:color w:val="000000" w:themeColor="text1"/>
          <w:sz w:val="20"/>
          <w:szCs w:val="20"/>
        </w:rPr>
      </w:pPr>
      <w:r w:rsidRPr="00643422">
        <w:rPr>
          <w:rFonts w:ascii="Times New Roman" w:eastAsia="Calibri" w:hAnsi="Times New Roman" w:cs="Times New Roman"/>
          <w:color w:val="000000" w:themeColor="text1"/>
          <w:sz w:val="20"/>
          <w:szCs w:val="20"/>
        </w:rPr>
        <w:t xml:space="preserve">Não é possível porque se multiplicarmos 4 vezes 6 que é o tamanho do retângulo irá dar 24. E já que o tamanho da peça B é 5 nós dividimos 24 para 5 que não dará um resultado completo, iria dar 4 e sobrar 4, então assim obtemos nosso resultado. </w:t>
      </w:r>
    </w:p>
    <w:p w14:paraId="1CB56D19"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Supondo escalas e critérios, esses enunciados poderiam variar em diferentes graus e naturezas. Aqui, independente do problema, exemplificam as possibilidades de combinações entre técnica e pronúncia que variam sem alterar o resultado. O conhecimento sobre o tabuleiro. A dimensão das peças, a nomenclatura das formas. Os diferentes algoritmos. O vocabulário terminológico, ora técnico ora informal. A variedade de técnicas numéricas e a variação gramatical das respostas comporta padrões de eficácia tecnológica, ou matemática. Assim, nestas respostas detalhadas em outro momento (LOURENÇO, 2015) pôde ser observada a preferência discursiva de cada item. Olhar essa variedade como fazeres culturalmente diversos, práticas coletivas de raciocínio expressivo, requer expor partes das condições de produção dessas estratégias. </w:t>
      </w:r>
    </w:p>
    <w:p w14:paraId="77270BDB" w14:textId="77777777" w:rsidR="00F67353" w:rsidRPr="00643422" w:rsidRDefault="00F67353" w:rsidP="00F67353">
      <w:pPr>
        <w:spacing w:before="120" w:line="360"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b/>
          <w:color w:val="000000" w:themeColor="text1"/>
          <w:sz w:val="26"/>
          <w:szCs w:val="26"/>
        </w:rPr>
        <w:t>A relação da OBMEP com a Etnomatemática, cultura, linguagem e tecnologia.</w:t>
      </w:r>
    </w:p>
    <w:p w14:paraId="2FFEBE1B" w14:textId="2F58E6A6"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Em Educação Matemática, a Etnomatemática é um campo o qual toma como elementos críticos tais práticas </w:t>
      </w:r>
      <w:r w:rsidR="00971D02" w:rsidRPr="00643422">
        <w:rPr>
          <w:rFonts w:ascii="Times New Roman" w:eastAsia="Calibri" w:hAnsi="Times New Roman" w:cs="Times New Roman"/>
          <w:color w:val="000000" w:themeColor="text1"/>
        </w:rPr>
        <w:t xml:space="preserve">e </w:t>
      </w:r>
      <w:r w:rsidRPr="00643422">
        <w:rPr>
          <w:rFonts w:ascii="Times New Roman" w:eastAsia="Calibri" w:hAnsi="Times New Roman" w:cs="Times New Roman"/>
          <w:color w:val="000000" w:themeColor="text1"/>
        </w:rPr>
        <w:t>trata essas relações entre cultura e linguagem como tecnologias simbólicas. A base etimológica para estilos, técnicas de explicação (</w:t>
      </w:r>
      <w:r w:rsidRPr="00643422">
        <w:rPr>
          <w:rFonts w:ascii="Times New Roman" w:eastAsia="Calibri" w:hAnsi="Times New Roman" w:cs="Times New Roman"/>
          <w:i/>
          <w:color w:val="000000" w:themeColor="text1"/>
        </w:rPr>
        <w:t>ticas</w:t>
      </w:r>
      <w:r w:rsidRPr="00643422">
        <w:rPr>
          <w:rFonts w:ascii="Times New Roman" w:eastAsia="Calibri" w:hAnsi="Times New Roman" w:cs="Times New Roman"/>
          <w:color w:val="000000" w:themeColor="text1"/>
        </w:rPr>
        <w:t>) epistemológica sobre a cooperação ambiental (</w:t>
      </w:r>
      <w:r w:rsidRPr="00643422">
        <w:rPr>
          <w:rFonts w:ascii="Times New Roman" w:eastAsia="Calibri" w:hAnsi="Times New Roman" w:cs="Times New Roman"/>
          <w:i/>
          <w:color w:val="000000" w:themeColor="text1"/>
        </w:rPr>
        <w:t>mathema</w:t>
      </w:r>
      <w:r w:rsidRPr="00643422">
        <w:rPr>
          <w:rFonts w:ascii="Times New Roman" w:eastAsia="Calibri" w:hAnsi="Times New Roman" w:cs="Times New Roman"/>
          <w:color w:val="000000" w:themeColor="text1"/>
        </w:rPr>
        <w:t>) entre cultura e natureza sistemas culturais distintos (</w:t>
      </w:r>
      <w:r w:rsidRPr="00643422">
        <w:rPr>
          <w:rFonts w:ascii="Times New Roman" w:eastAsia="Calibri" w:hAnsi="Times New Roman" w:cs="Times New Roman"/>
          <w:i/>
          <w:color w:val="000000" w:themeColor="text1"/>
        </w:rPr>
        <w:t>ethnos</w:t>
      </w:r>
      <w:r w:rsidRPr="00643422">
        <w:rPr>
          <w:rFonts w:ascii="Times New Roman" w:eastAsia="Calibri" w:hAnsi="Times New Roman" w:cs="Times New Roman"/>
          <w:color w:val="000000" w:themeColor="text1"/>
        </w:rPr>
        <w:t xml:space="preserve">)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"Proceedings of the Fifth International Congress on Mathematical Education", "id" : "ITEM-1", "issued" : { "date-parts" : [ [ "1984" ] ] }, "publisher" : "Springer Science+Business Media LLC.", "publisher-place" : "Birkh\u00e4user Boston", "title" : "Socio-cultural bases for mathematical education", "type" : "paper-conference" }, "locator" : "5", "uris" : [ "http://www.mendeley.com/documents/?uuid=c265ed78-257e-4a6c-8fae-1c99b4f25ab5" ] } ], "mendeley" : { "formattedCitation" : "(D\u00b4AMBROSIO, 1984, p. 5)", "plainTextFormattedCitation" : "(D\u00b4AMBROSIO, 1984, p. 5)", "previouslyFormattedCitation" : "(D\u00b4AMBROSIO, 1984, p. 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1984, p. 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Segundo essa concepção observar matematicamente a cultura de grupos de prática como uma etnomatemática situa </w:t>
      </w:r>
      <w:r w:rsidR="006D60BD" w:rsidRPr="00643422">
        <w:rPr>
          <w:rFonts w:ascii="Times New Roman" w:eastAsia="Calibri" w:hAnsi="Times New Roman" w:cs="Times New Roman"/>
          <w:color w:val="000000" w:themeColor="text1"/>
        </w:rPr>
        <w:t>as</w:t>
      </w:r>
      <w:r w:rsidRPr="00643422">
        <w:rPr>
          <w:rFonts w:ascii="Times New Roman" w:eastAsia="Calibri" w:hAnsi="Times New Roman" w:cs="Times New Roman"/>
          <w:color w:val="000000" w:themeColor="text1"/>
        </w:rPr>
        <w:t xml:space="preserve"> respostas da OBMEP nas concepções antropológicas de cultura, e linguísticas de linguagem/língua em uso discursivo.</w:t>
      </w:r>
    </w:p>
    <w:p w14:paraId="5ACFDADD" w14:textId="0376E902"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Para considerar o quadro teórico dos termos cultura, linguagem e tecnologia uso elementos da proposta elaborada em três pontos que Arouca-Araujo </w:t>
      </w:r>
      <w:r w:rsidRPr="00643422">
        <w:rPr>
          <w:rFonts w:ascii="Times New Roman" w:eastAsia="Calibri" w:hAnsi="Times New Roman" w:cs="Times New Roman"/>
          <w:color w:val="000000" w:themeColor="text1"/>
        </w:rPr>
        <w:fldChar w:fldCharType="begin" w:fldLock="1"/>
      </w:r>
      <w:r w:rsidR="00CB28C9" w:rsidRPr="00643422">
        <w:rPr>
          <w:rFonts w:ascii="Times New Roman" w:eastAsia="Calibri" w:hAnsi="Times New Roman" w:cs="Times New Roman"/>
          <w:color w:val="000000" w:themeColor="text1"/>
        </w:rPr>
        <w:instrText>ADDIN CSL_CITATION { "citationItems" : [ { "id" : "ITEM-1", "itemData" : { "author" : [ { "dropping-particle" : "", "family" : "Aroca-araujo", "given" : "Armando", "non-dropping-particle" : "", "parse-names" : false, "suffix" : "" } ], "container-title" : "International Journal for Research in Mathematics Education", "id" : "ITEM-1", "issue" : "1", "issued" : { "date-parts" : [ [ "2016" ] ] }, "page" : "261-284", "title" : "Twelve callings to the ethnomathematicians of the world", "type" : "article-journal", "volume" : "6" }, "suppress-author" : 1, "uris" : [ "http://www.mendeley.com/documents/?uuid=0255e232-8b19-4970-92c9-62f2c8f7804b" ] } ], "mendeley" : { "formattedCitation" : "(2016)", "plainTextFormattedCitation" : "(2016)", "previouslyFormattedCitation" : "(2016)"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(2016)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estabelece ao fazer uma reflexão teórica sobre o programa etnomatemática: (1) sobre o número de pessoas que a investigam, (2) como aplicar os conceitos desenvolvidos em sala de aula e (3) a relação do campo com a identidade e cultura de seus praticantes. Serão aqui considerados os pontos 2 e 3. </w:t>
      </w:r>
    </w:p>
    <w:p w14:paraId="730C2DF1" w14:textId="6CE04EF6"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De acordo com estes estudos, a língua, a cultura e a tecnologia são elementos de raciocínio, e este é o desafio e contribuição curricular que a Etnomatemática tem no campo maior da educação matemática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"10.1207/s15327833mtl0102_3", "ISSN" : "1098-6065", "author" : [ { "dropping-particle" : "", "family" : "D'Ambrosio", "given" : "Ubiratan", "non-dropping-particle" : "", "parse-names" : false, "suffix" : "" } ], "container-title" : "Mathematical Thinking and Learning", "id" : "ITEM-1", "issue" : "2", "issued" : { "date-parts" : [ [ "1999", "6", "1" ] ] }, "note" : "doi: 10.1207/s15327833mtl0102_3", "page" : "131-153", "publisher" : "Routledge", "title" : "Literacy, Matheracy, and Technocracy: A Trivium for Today", "type" : "article-journal", "volume" : "1" }, "locator" : "151", "uris" : [ "http://www.mendeley.com/documents/?uuid=9c2c07d0-decb-4504-ae3b-12ef4f9773dc" ] } ], "mendeley" : { "formattedCitation" : "(D\u2019AMBROSIO, 1999, p. 151)", "plainTextFormattedCitation" : "(D\u2019AMBROSIO, 1999, p. 151)", "previouslyFormattedCitation" : "(D\u2019AMBROSIO, 1999, p. 151)"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1999, p. 151)</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De modo que é possível esquematizar esses temas pensados na antropologia aplicando testes linguísticos de constituência para substituição, permutação e coordenação segundo a</w:t>
      </w:r>
      <w:r w:rsidR="00BA42B0">
        <w:rPr>
          <w:rFonts w:ascii="Times New Roman" w:eastAsia="Calibri" w:hAnsi="Times New Roman" w:cs="Times New Roman"/>
          <w:color w:val="000000" w:themeColor="text1"/>
        </w:rPr>
        <w:t>s</w:t>
      </w:r>
      <w:r w:rsidRPr="00643422">
        <w:rPr>
          <w:rFonts w:ascii="Times New Roman" w:eastAsia="Calibri" w:hAnsi="Times New Roman" w:cs="Times New Roman"/>
          <w:color w:val="000000" w:themeColor="text1"/>
        </w:rPr>
        <w:t xml:space="preserve"> ótica</w:t>
      </w:r>
      <w:r w:rsidR="00BA42B0">
        <w:rPr>
          <w:rFonts w:ascii="Times New Roman" w:eastAsia="Calibri" w:hAnsi="Times New Roman" w:cs="Times New Roman"/>
          <w:color w:val="000000" w:themeColor="text1"/>
        </w:rPr>
        <w:t>s</w:t>
      </w:r>
      <w:r w:rsidRPr="00643422">
        <w:rPr>
          <w:rFonts w:ascii="Times New Roman" w:eastAsia="Calibri" w:hAnsi="Times New Roman" w:cs="Times New Roman"/>
          <w:color w:val="000000" w:themeColor="text1"/>
        </w:rPr>
        <w:t xml:space="preserve"> discursiva</w:t>
      </w:r>
      <w:r w:rsidR="00BA42B0">
        <w:rPr>
          <w:rFonts w:ascii="Times New Roman" w:eastAsia="Calibri" w:hAnsi="Times New Roman" w:cs="Times New Roman"/>
          <w:color w:val="000000" w:themeColor="text1"/>
        </w:rPr>
        <w:t>s</w:t>
      </w:r>
      <w:r w:rsidRPr="00643422">
        <w:rPr>
          <w:rFonts w:ascii="Times New Roman" w:eastAsia="Calibri" w:hAnsi="Times New Roman" w:cs="Times New Roman"/>
          <w:color w:val="000000" w:themeColor="text1"/>
        </w:rPr>
        <w:t xml:space="preserve"> proposta</w:t>
      </w:r>
      <w:r w:rsidR="00BA42B0">
        <w:rPr>
          <w:rFonts w:ascii="Times New Roman" w:eastAsia="Calibri" w:hAnsi="Times New Roman" w:cs="Times New Roman"/>
          <w:color w:val="000000" w:themeColor="text1"/>
        </w:rPr>
        <w:t>s</w:t>
      </w:r>
      <w:r w:rsidRPr="00643422">
        <w:rPr>
          <w:rFonts w:ascii="Times New Roman" w:eastAsia="Calibri" w:hAnsi="Times New Roman" w:cs="Times New Roman"/>
          <w:color w:val="000000" w:themeColor="text1"/>
        </w:rPr>
        <w:t xml:space="preserve">. Como será visto, estas ordenações apontam questões internas necessárias para adequar a pesquisa a uma descrição etnomatemática. </w:t>
      </w:r>
    </w:p>
    <w:p w14:paraId="354B78B4" w14:textId="595D4990"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 texto é organizado em três etapas. Serão apresentadas as relações observadas na descrição terminológica dos conceitos de cultura, linguagem e tecnologia. Essa descrição teórica dialoga </w:t>
      </w:r>
      <w:r w:rsidR="000F5249" w:rsidRPr="00643422">
        <w:rPr>
          <w:rFonts w:ascii="Times New Roman" w:eastAsia="Calibri" w:hAnsi="Times New Roman" w:cs="Times New Roman"/>
          <w:color w:val="000000" w:themeColor="text1"/>
        </w:rPr>
        <w:t xml:space="preserve">criticamente </w:t>
      </w:r>
      <w:r w:rsidRPr="00643422">
        <w:rPr>
          <w:rFonts w:ascii="Times New Roman" w:eastAsia="Calibri" w:hAnsi="Times New Roman" w:cs="Times New Roman"/>
          <w:color w:val="000000" w:themeColor="text1"/>
        </w:rPr>
        <w:t xml:space="preserve">com as práticas observadas no fenômeno discursivo acima. Buscará pensar na etnomatemática a tecnografia das respostas como variedades interpretáveis de práticas culturais. </w:t>
      </w:r>
    </w:p>
    <w:p w14:paraId="2B625880"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 lugar dos resultados das análises da OBMEP pensadas junto à educação matemática é mostrar que a língua, junto às operações numéricas, não verbais, é um instrumento não paralelo, mas estruturante da reflexão. Essa simultaneidade de composições criadas comporta sistematização linguística da parte numérica consistente com as operações matemáticas necessárias ao raciocínio. </w:t>
      </w:r>
    </w:p>
    <w:p w14:paraId="2A63291C" w14:textId="22E4E961" w:rsidR="00755778"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Por conseguinte, especificarei o lugar dos enunciados observando sua relação com a Etnomatemática. Argumento que uma seleção terminológica é necessária devido aos diversos usos desses três conceitos. </w:t>
      </w:r>
      <w:r w:rsidR="00A15B9C" w:rsidRPr="00643422">
        <w:rPr>
          <w:rFonts w:ascii="Times New Roman" w:eastAsia="Calibri" w:hAnsi="Times New Roman" w:cs="Times New Roman"/>
          <w:color w:val="000000" w:themeColor="text1"/>
        </w:rPr>
        <w:t xml:space="preserve">A </w:t>
      </w:r>
      <w:r w:rsidRPr="00643422">
        <w:rPr>
          <w:rFonts w:ascii="Times New Roman" w:eastAsia="Calibri" w:hAnsi="Times New Roman" w:cs="Times New Roman"/>
          <w:color w:val="000000" w:themeColor="text1"/>
        </w:rPr>
        <w:t xml:space="preserve">origem </w:t>
      </w:r>
      <w:r w:rsidR="00A15B9C" w:rsidRPr="00643422">
        <w:rPr>
          <w:rFonts w:ascii="Times New Roman" w:eastAsia="Calibri" w:hAnsi="Times New Roman" w:cs="Times New Roman"/>
          <w:color w:val="000000" w:themeColor="text1"/>
        </w:rPr>
        <w:t>de suas</w:t>
      </w:r>
      <w:r w:rsidRPr="00643422">
        <w:rPr>
          <w:rFonts w:ascii="Times New Roman" w:eastAsia="Calibri" w:hAnsi="Times New Roman" w:cs="Times New Roman"/>
          <w:color w:val="000000" w:themeColor="text1"/>
        </w:rPr>
        <w:t xml:space="preserve"> concepções filosóficas reduz ideológica e epistemologicamente a produção de discursos matemáticos não formalizados</w:t>
      </w:r>
      <w:r w:rsidR="00AA6F1B" w:rsidRPr="00643422">
        <w:rPr>
          <w:rFonts w:ascii="Times New Roman" w:eastAsia="Calibri" w:hAnsi="Times New Roman" w:cs="Times New Roman"/>
          <w:color w:val="000000" w:themeColor="text1"/>
        </w:rPr>
        <w:t xml:space="preserve"> segundo tais premissas</w:t>
      </w:r>
      <w:r w:rsidRPr="00643422">
        <w:rPr>
          <w:rFonts w:ascii="Times New Roman" w:eastAsia="Calibri" w:hAnsi="Times New Roman" w:cs="Times New Roman"/>
          <w:color w:val="000000" w:themeColor="text1"/>
        </w:rPr>
        <w:t xml:space="preserve">. Logo, o entendimento platônico dos números como verdade e perfeição e o aristotélico da escrita como forma única de pensamento é necessário para perceber nestes o essencialismo idealista e a redução empírica. </w:t>
      </w:r>
    </w:p>
    <w:p w14:paraId="0686E489" w14:textId="392CD5BD" w:rsidR="00F67353" w:rsidRPr="00643422" w:rsidRDefault="00F67353" w:rsidP="00643422">
      <w:pPr>
        <w:pStyle w:val="BodyTextIndent2"/>
      </w:pPr>
      <w:r w:rsidRPr="00643422">
        <w:t xml:space="preserve">Essa digressão terminológica </w:t>
      </w:r>
      <w:r w:rsidR="004D365E" w:rsidRPr="00643422">
        <w:t>busca compreender o que garante às combinações sintáticas e semânticas</w:t>
      </w:r>
      <w:r w:rsidR="004D365E" w:rsidRPr="00643422">
        <w:t xml:space="preserve"> </w:t>
      </w:r>
      <w:r w:rsidR="004D365E" w:rsidRPr="00643422">
        <w:t xml:space="preserve">acima, uma diversidade socialmente expressa e uma eficácia numérica. </w:t>
      </w:r>
      <w:r w:rsidR="00011764" w:rsidRPr="00643422">
        <w:t>D</w:t>
      </w:r>
      <w:r w:rsidRPr="00643422">
        <w:t>ialoga</w:t>
      </w:r>
      <w:r w:rsidR="00011764" w:rsidRPr="00643422">
        <w:t xml:space="preserve"> </w:t>
      </w:r>
      <w:r w:rsidRPr="00643422">
        <w:t>assim com</w:t>
      </w:r>
      <w:r w:rsidR="00011764" w:rsidRPr="00643422">
        <w:t xml:space="preserve"> os</w:t>
      </w:r>
      <w:r w:rsidRPr="00643422">
        <w:t xml:space="preserve"> usos conceituais e as consequências práticas dos estudos etnomatemáticos. </w:t>
      </w:r>
    </w:p>
    <w:p w14:paraId="7FFA1922" w14:textId="77777777" w:rsidR="00F67353" w:rsidRPr="00643422" w:rsidRDefault="00F67353" w:rsidP="00F67353">
      <w:pPr>
        <w:spacing w:before="120" w:line="360" w:lineRule="auto"/>
        <w:jc w:val="both"/>
        <w:rPr>
          <w:rFonts w:ascii="Times New Roman" w:eastAsia="Calibri" w:hAnsi="Times New Roman" w:cs="Times New Roman"/>
          <w:b/>
          <w:color w:val="000000" w:themeColor="text1"/>
          <w:sz w:val="26"/>
          <w:szCs w:val="26"/>
        </w:rPr>
      </w:pPr>
      <w:r w:rsidRPr="00643422">
        <w:rPr>
          <w:rFonts w:ascii="Times New Roman" w:eastAsia="Calibri" w:hAnsi="Times New Roman" w:cs="Times New Roman"/>
          <w:b/>
          <w:color w:val="000000" w:themeColor="text1"/>
          <w:sz w:val="26"/>
          <w:szCs w:val="26"/>
        </w:rPr>
        <w:t xml:space="preserve">As bases filosóficas da redução do discurso matemático </w:t>
      </w:r>
    </w:p>
    <w:p w14:paraId="38A3247D"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Há um debate na educação matemática que faz com que diferentes modos de fazer matemática não sejam o mesmo que diferentes matemáticas feitas do mesmo modo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"10.1207/s15327833mtl0102_3", "ISSN" : "1098-6065", "author" : [ { "dropping-particle" : "", "family" : "D'Ambrosio", "given" : "Ubiratan", "non-dropping-particle" : "", "parse-names" : false, "suffix" : "" } ], "container-title" : "Mathematical Thinking and Learning", "id" : "ITEM-1", "issue" : "2", "issued" : { "date-parts" : [ [ "1999", "6", "1" ] ] }, "note" : "doi: 10.1207/s15327833mtl0102_3", "page" : "131-153", "publisher" : "Routledge", "title" : "Literacy, Matheracy, and Technocracy: A Trivium for Today", "type" : "article-journal", "volume" : "1" }, "uris" : [ "http://www.mendeley.com/documents/?uuid=9c2c07d0-decb-4504-ae3b-12ef4f9773dc" ] }, { "id" : "ITEM-2", "itemData" : { "author" : [ { "dropping-particle" : "", "family" : "Joseph", "given" : "George Gheverghese", "non-dropping-particle" : "", "parse-names" : false, "suffix" : "" } ], "id" : "ITEM-2", "issued" : { "date-parts" : [ [ "2011" ] ] }, "publisher" : "Princeton University Press", "publisher-place" : "Princeton", "title" : "The Crest of the Peacock - Non European Roots of Mathematics", "type" : "book" }, "uris" : [ "http://www.mendeley.com/documents/?uuid=8524972b-34b1-4193-8b32-aa31c985dd6a" ] }, { "id" : "ITEM-3", "itemData" : { "ISBN" : "9781402002601", "collection-title" : "Science Across Cultures: the history of non-western science", "editor" : [ { "dropping-particle" : "", "family" : "Selin", "given" : "Helaine", "non-dropping-particle" : "", "parse-names" : false, "suffix" : "" } ], "id" : "ITEM-3", "issued" : { "date-parts" : [ [ "2000" ] ] }, "number-of-pages" : "1-12", "publisher" : "Kluwer Academic Publishers", "publisher-place" : "Dordrecht", "title" : "Mathematics Across Cultures", "type" : "book" }, "uris" : [ "http://www.mendeley.com/documents/?uuid=c2b3fb28-1054-4435-b13e-52a604f7bed4" ] } ], "mendeley" : { "formattedCitation" : "(D\u2019AMBROSIO, 1999; SELIN, 2000; JOSEPH, 2011)", "plainTextFormattedCitation" : "(D\u2019AMBROSIO, 1999; SELIN, 2000; JOSEPH, 2011)", "previouslyFormattedCitation" : "(D\u2019AMBROSIO, 1999; SELIN, 2000; JOSEPH, 2011)"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1999; SELIN, 2000; JOSEPH, 2011)</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Em uma visão abstrata, ou a-histórica, os aspectos culturais das duas frases não se recobrem. Assim, uma definição platonista rígida de matemática abstrata exclui outras formas (materialidades) que não as práticas alfanuméricas designadas pela tradição grega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"Powell", "given" : "Arthur B.", "non-dropping-particle" : "", "parse-names" : false, "suffix" : "" }, { "dropping-particle" : "", "family" : "Frankenstein", "given" : "Marilyn", "non-dropping-particle" : "", "parse-names" : false, "suffix" : "" } ], "editor" : [ { "dropping-particle" : "", "family" : "Powell", "given" : "Arthur B.", "non-dropping-particle" : "", "parse-names" : false, "suffix" : "" }, { "dropping-particle" : "", "family" : "Frankenstein", "given" : "Marilyn", "non-dropping-particle" : "", "parse-names" : false, "suffix" : "" } ], "id" : "ITEM-1", "issued" : { "date-parts" : [ [ "1997" ] ] }, "publisher" : "State University of New York Press", "publisher-place" : "New York", "title" : "Ethnomathematics Challenging Eurocentrism in Mathematics Education", "type" : "book" }, "uris" : [ "http://www.mendeley.com/documents/?uuid=4abec28b-e29d-4319-a21b-16fa064de440" ] } ], "mendeley" : { "formattedCitation" : "(POWELL; FRANKENSTEIN, 1997)", "plainTextFormattedCitation" : "(POWELL; FRANKENSTEIN, 1997)", "previouslyFormattedCitation" : "(POWELL; FRANKENSTEIN, 1997)"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(POWELL; FRANKENSTEIN, 1997)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Essa rigidez tem implicações político-epistemológicas e tecnológico-pedagógicas. A decorrência política é a exclusão de outras formas (tecnologias numéricas) não platônicas da constituição da matemática. A decorrência tecnológica é que o não verbal é visto como não cognitivo, ausente de raciocínio e portanto de linguagem. </w:t>
      </w:r>
    </w:p>
    <w:p w14:paraId="65BBA20E" w14:textId="6C70068C"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 papel filosófico da Etnomatemática tem a chance paradoxal de saturar a reflexão labiríntica sobre o aprendizado do que seja “a matemática”, porque consegue modelar a própria cultura como dimensão numérica. A diferença entre a forma como se faz matemática e a matemática formal em siglas como a OBMEP e o SAEB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"Sampaio", "given" : "Elaine", "non-dropping-particle" : "", "parse-names" : false, "suffix" : "" }, { "dropping-particle" : "", "family" : "Iriarti", "given" : "Maria Alejandra", "non-dropping-particle" : "", "parse-names" : false, "suffix" : "" }, { "dropping-particle" : "", "family" : "Andrade", "given" : "Melissa", "non-dropping-particle" : "", "parse-names" : false, "suffix" : "" }, { "dropping-particle" : "", "family" : "Silva", "given" : "Roberto Santos", "non-dropping-particle" : "", "parse-names" : false, "suffix" : "" }, { "dropping-particle" : "De", "family" : "Paula", "given" : "Te\u00f3filo Francisco", "non-dropping-particle" : "", "parse-names" : false, "suffix" : "" }, { "dropping-particle" : "", "family" : "Fernandes", "given" : "Cristiano", "non-dropping-particle" : "", "parse-names" : false, "suffix" : "" }, { "dropping-particle" : "", "family" : "Andrade", "given" : "Dalton F", "non-dropping-particle" : "", "parse-names" : false, "suffix" : "" } ], "id" : "ITEM-1", "issued" : { "date-parts" : [ [ "2002" ] ] }, "page" : "1-106", "title" : "Saeb 2001 Novas Perspectivas", "type" : "article-journal" }, "uris" : [ "http://www.mendeley.com/documents/?uuid=20a72ad7-ea4a-47f6-a5de-89bc769d23cd" ] } ], "mendeley" : { "formattedCitation" : "(SAMPAIO et al., 2002)", "plainTextFormattedCitation" : "(SAMPAIO et al., 2002)", "previouslyFormattedCitation" : "(SAMPAIO et al., 2002)"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(SAMPAIO et al., 2002)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explica muito das concepções de aprendizado da matemática, mas também evidencia propostas social e ideologicamente diferentes.  </w:t>
      </w:r>
    </w:p>
    <w:p w14:paraId="6A44DA56" w14:textId="20E51681" w:rsidR="00F67353" w:rsidRPr="00643422" w:rsidRDefault="00A8618E"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Há </w:t>
      </w:r>
      <w:r w:rsidR="00F67353" w:rsidRPr="00643422">
        <w:rPr>
          <w:rFonts w:ascii="Times New Roman" w:eastAsia="Calibri" w:hAnsi="Times New Roman" w:cs="Times New Roman"/>
          <w:color w:val="000000" w:themeColor="text1"/>
        </w:rPr>
        <w:t xml:space="preserve">resíduo filosófico de conceitos que balizam noções ancoradas no tempo espaço, como a própria noção do que significa a palavra Europa. São resultado de modos de pensar e descrever estes povos, antes conhecidos como </w:t>
      </w:r>
      <w:r w:rsidR="00F67353" w:rsidRPr="00643422">
        <w:rPr>
          <w:rFonts w:ascii="Times New Roman" w:eastAsia="Calibri" w:hAnsi="Times New Roman" w:cs="Times New Roman"/>
          <w:i/>
          <w:color w:val="000000" w:themeColor="text1"/>
        </w:rPr>
        <w:t>“Christendom”</w:t>
      </w:r>
      <w:r w:rsidR="00F67353" w:rsidRPr="00643422">
        <w:rPr>
          <w:rFonts w:ascii="Times New Roman" w:eastAsia="Calibri" w:hAnsi="Times New Roman" w:cs="Times New Roman"/>
          <w:color w:val="000000" w:themeColor="text1"/>
        </w:rPr>
        <w:t xml:space="preserve"> </w:t>
      </w:r>
      <w:r w:rsidR="00F67353" w:rsidRPr="00643422">
        <w:rPr>
          <w:rFonts w:ascii="Times New Roman" w:eastAsia="Calibri" w:hAnsi="Times New Roman" w:cs="Times New Roman"/>
          <w:color w:val="000000" w:themeColor="text1"/>
        </w:rPr>
        <w:fldChar w:fldCharType="begin" w:fldLock="1"/>
      </w:r>
      <w:r w:rsidR="00F67353" w:rsidRPr="00643422">
        <w:rPr>
          <w:rFonts w:ascii="Times New Roman" w:eastAsia="Calibri" w:hAnsi="Times New Roman" w:cs="Times New Roman"/>
          <w:color w:val="000000" w:themeColor="text1"/>
        </w:rPr>
        <w:instrText>ADDIN CSL_CITATION { "citationItems" : [ { "id" : "ITEM-1", "itemData" : { "author" : [ { "dropping-particle" : "", "family" : "Powell", "given" : "Arthur B.", "non-dropping-particle" : "", "parse-names" : false, "suffix" : "" }, { "dropping-particle" : "", "family" : "Frankenstein", "given" : "Marilyn", "non-dropping-particle" : "", "parse-names" : false, "suffix" : "" } ], "editor" : [ { "dropping-particle" : "", "family" : "Powell", "given" : "Arthur B.", "non-dropping-particle" : "", "parse-names" : false, "suffix" : "" }, { "dropping-particle" : "", "family" : "Frankenstein", "given" : "Marilyn", "non-dropping-particle" : "", "parse-names" : false, "suffix" : "" } ], "id" : "ITEM-1", "issued" : { "date-parts" : [ [ "1997" ] ] }, "publisher" : "State University of New York Press", "publisher-place" : "New York", "title" : "Ethnomathematics Challenging Eurocentrism in Mathematics Education", "type" : "book" }, "uris" : [ "http://www.mendeley.com/documents/?uuid=4abec28b-e29d-4319-a21b-16fa064de440" ] } ], "mendeley" : { "formattedCitation" : "(POWELL; FRANKENSTEIN, 1997)", "plainTextFormattedCitation" : "(POWELL; FRANKENSTEIN, 1997)", "previouslyFormattedCitation" : "(POWELL; FRANKENSTEIN, 1997)" }, "properties" : { "noteIndex" : 0 }, "schema" : "https://github.com/citation-style-language/schema/raw/master/csl-citation.json" }</w:instrText>
      </w:r>
      <w:r w:rsidR="00F67353" w:rsidRPr="00643422">
        <w:rPr>
          <w:rFonts w:ascii="Times New Roman" w:eastAsia="Calibri" w:hAnsi="Times New Roman" w:cs="Times New Roman"/>
          <w:color w:val="000000" w:themeColor="text1"/>
        </w:rPr>
        <w:fldChar w:fldCharType="separate"/>
      </w:r>
      <w:r w:rsidR="00F67353" w:rsidRPr="00643422">
        <w:rPr>
          <w:rFonts w:ascii="Times New Roman" w:eastAsia="Calibri" w:hAnsi="Times New Roman" w:cs="Times New Roman"/>
          <w:noProof/>
          <w:color w:val="000000" w:themeColor="text1"/>
        </w:rPr>
        <w:t>(POWELL; FRANKENSTEIN, 1997)</w:t>
      </w:r>
      <w:r w:rsidR="00F67353" w:rsidRPr="00643422">
        <w:rPr>
          <w:rFonts w:ascii="Times New Roman" w:eastAsia="Calibri" w:hAnsi="Times New Roman" w:cs="Times New Roman"/>
          <w:color w:val="000000" w:themeColor="text1"/>
        </w:rPr>
        <w:fldChar w:fldCharType="end"/>
      </w:r>
      <w:r w:rsidR="00F67353" w:rsidRPr="00643422">
        <w:rPr>
          <w:rFonts w:ascii="Times New Roman" w:eastAsia="Calibri" w:hAnsi="Times New Roman" w:cs="Times New Roman"/>
          <w:color w:val="000000" w:themeColor="text1"/>
        </w:rPr>
        <w:t xml:space="preserve"> ou, o reino “cristão”; tributários, portanto, da tradição mitológica relacionada aqui ao eurocentrismo. O impacto dessa visão de mundo, e suas consequências para a formulação do que hoje se compreende como matemática, tem reflexos para a presente discussão. </w:t>
      </w:r>
    </w:p>
    <w:p w14:paraId="6E78FA9E" w14:textId="5015DD2B"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 cuidado das pesquisas etnomatemáticas com a premissa da “matemática” não possuir relação com a política, ocorre pelo fato de que ao longo da história, não raro isto é usado para tais fins </w:t>
      </w:r>
      <w:r w:rsidRPr="00643422">
        <w:rPr>
          <w:rFonts w:ascii="Times New Roman" w:eastAsia="Calibri" w:hAnsi="Times New Roman" w:cs="Times New Roman"/>
          <w:color w:val="000000" w:themeColor="text1"/>
        </w:rPr>
        <w:fldChar w:fldCharType="begin" w:fldLock="1"/>
      </w:r>
      <w:r w:rsidR="00AD3FCD"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"Political Science", "id" : "ITEM-1", "issued" : { "date-parts" : [ [ "2009" ] ] }, "title" : "Nonkilling Mathematics", "type" : "article-journal" }, "uris" : [ "http://www.mendeley.com/documents/?uuid=13714d45-ca1b-4504-ad03-417cf4f407c4" ] }, { "id" : "ITEM-2", "itemData" : { "DOI" : "10.1207/s15327833mtl0102_3", "ISSN" : "1098-6065", "author" : [ { "dropping-particle" : "", "family" : "D'Ambrosio", "given" : "Ubiratan", "non-dropping-particle" : "", "parse-names" : false, "suffix" : "" } ], "container-title" : "Mathematical Thinking and Learning", "id" : "ITEM-2", "issue" : "2", "issued" : { "date-parts" : [ [ "1999", "6", "1" ] ] }, "note" : "doi: 10.1207/s15327833mtl0102_3", "page" : "131-153", "publisher" : "Routledge", "title" : "Literacy, Matheracy, and Technocracy: A Trivium for Today", "type" : "article-journal", "volume" : "1" }, "uris" : [ "http://www.mendeley.com/documents/?uuid=9c2c07d0-decb-4504-ae3b-12ef4f9773dc" ] } ], "mendeley" : { "formattedCitation" : "(D\u2019AMBROSIO, 1999; D\u00b4AMBROSIO, 2009)", "plainTextFormattedCitation" : "(D\u2019AMBROSIO, 1999; D\u00b4AMBROSIO, 2009)", "previouslyFormattedCitation" : "(D\u2019AMBROSIO, 1999; D\u00b4AMBROSIO, 2009)"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00AD3FCD" w:rsidRPr="00643422">
        <w:rPr>
          <w:rFonts w:ascii="Times New Roman" w:eastAsia="Calibri" w:hAnsi="Times New Roman" w:cs="Times New Roman"/>
          <w:noProof/>
          <w:color w:val="000000" w:themeColor="text1"/>
        </w:rPr>
        <w:t>(D’AMBROSIO, 1999; D´AMBROSIO, 2009)</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sempre sustentando seu lugar transcendente. Ao mesmo tempo que buscam o rigor metodológico, as Etnomatemáticas criticam a Educação Matemática em geral</w:t>
      </w:r>
      <w:r w:rsidR="00417706" w:rsidRPr="00643422">
        <w:rPr>
          <w:rFonts w:ascii="Times New Roman" w:eastAsia="Calibri" w:hAnsi="Times New Roman" w:cs="Times New Roman"/>
          <w:color w:val="000000" w:themeColor="text1"/>
        </w:rPr>
        <w:t>,</w:t>
      </w:r>
      <w:r w:rsidRPr="00643422">
        <w:rPr>
          <w:rFonts w:ascii="Times New Roman" w:eastAsia="Calibri" w:hAnsi="Times New Roman" w:cs="Times New Roman"/>
          <w:color w:val="000000" w:themeColor="text1"/>
        </w:rPr>
        <w:t xml:space="preserve"> como parte da redução epistemológica da dimensão política que coloca a matemática como metafisica que nega </w:t>
      </w:r>
      <w:r w:rsidR="00CA5CA1" w:rsidRPr="00643422">
        <w:rPr>
          <w:rFonts w:ascii="Times New Roman" w:eastAsia="Calibri" w:hAnsi="Times New Roman" w:cs="Times New Roman"/>
          <w:color w:val="000000" w:themeColor="text1"/>
        </w:rPr>
        <w:t xml:space="preserve">as bases </w:t>
      </w:r>
      <w:r w:rsidRPr="00643422">
        <w:rPr>
          <w:rFonts w:ascii="Times New Roman" w:eastAsia="Calibri" w:hAnsi="Times New Roman" w:cs="Times New Roman"/>
          <w:color w:val="000000" w:themeColor="text1"/>
        </w:rPr>
        <w:t xml:space="preserve">evolucionárias da cultura </w:t>
      </w:r>
      <w:r w:rsidRPr="00643422">
        <w:rPr>
          <w:rFonts w:ascii="Times New Roman" w:eastAsia="Calibri" w:hAnsi="Times New Roman" w:cs="Times New Roman"/>
          <w:color w:val="000000" w:themeColor="text1"/>
        </w:rPr>
        <w:fldChar w:fldCharType="begin" w:fldLock="1"/>
      </w:r>
      <w:r w:rsidR="002C0C0E" w:rsidRPr="00643422">
        <w:rPr>
          <w:rFonts w:ascii="Times New Roman" w:eastAsia="Calibri" w:hAnsi="Times New Roman" w:cs="Times New Roman"/>
          <w:color w:val="000000" w:themeColor="text1"/>
        </w:rPr>
        <w:instrText>ADDIN CSL_CITATION { "citationItems" : [ { "id" : "ITEM-1", "itemData" : { "DOI" : "10.1007/978-94-011-4301-1", "ISBN" : "9789401143011", "author" : [ { "dropping-particle" : "", "family" : "Eglash", "given" : "Ron", "non-dropping-particle" : "", "parse-names" : false, "suffix" : "" } ], "container-title" : "Mathematics Across Cultures: The History of Non-Western Mathematics", "id" : "ITEM-1", "issued" : { "date-parts" : [ [ "2000" ] ] }, "page" : "13-22", "publisher" : "Kluwer Academic Publishers", "publisher-place" : "Dordrecht", "title" : "Anthropological Perspectives on Ethnomathematics", "type" : "chapter" }, "uris" : [ "http://www.mendeley.com/documents/?uuid=bbaf20ce-119a-46bb-afb8-690187531441" ] } ], "mendeley" : { "formattedCitation" : "(EGLASH, 2000)", "plainTextFormattedCitation" : "(EGLASH, 2000)", "previouslyFormattedCitation" : "(EGLASH, 2000)"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00AD3FCD" w:rsidRPr="00643422">
        <w:rPr>
          <w:rFonts w:ascii="Times New Roman" w:eastAsia="Calibri" w:hAnsi="Times New Roman" w:cs="Times New Roman"/>
          <w:noProof/>
          <w:color w:val="000000" w:themeColor="text1"/>
        </w:rPr>
        <w:t>(EGLASH, 2000)</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w:t>
      </w:r>
    </w:p>
    <w:p w14:paraId="7B517885" w14:textId="49C1D1DA"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Na discussão de Arouca-Araujo (2016), os estudos existentes buscam dar conta dos modos de fazer Etnomatemática. Atendo-se ao ponto de vista antropológico e </w:t>
      </w:r>
      <w:r w:rsidR="009B0D10" w:rsidRPr="00643422">
        <w:rPr>
          <w:rFonts w:ascii="Times New Roman" w:eastAsia="Calibri" w:hAnsi="Times New Roman" w:cs="Times New Roman"/>
          <w:color w:val="000000" w:themeColor="text1"/>
        </w:rPr>
        <w:t xml:space="preserve">à </w:t>
      </w:r>
      <w:r w:rsidRPr="00643422">
        <w:rPr>
          <w:rFonts w:ascii="Times New Roman" w:eastAsia="Calibri" w:hAnsi="Times New Roman" w:cs="Times New Roman"/>
          <w:color w:val="000000" w:themeColor="text1"/>
        </w:rPr>
        <w:t>argumentação discursiva</w:t>
      </w:r>
      <w:r w:rsidR="009B0D10" w:rsidRPr="00643422">
        <w:rPr>
          <w:rFonts w:ascii="Times New Roman" w:eastAsia="Calibri" w:hAnsi="Times New Roman" w:cs="Times New Roman"/>
          <w:color w:val="000000" w:themeColor="text1"/>
        </w:rPr>
        <w:t>,</w:t>
      </w:r>
      <w:r w:rsidRPr="00643422">
        <w:rPr>
          <w:rFonts w:ascii="Times New Roman" w:eastAsia="Calibri" w:hAnsi="Times New Roman" w:cs="Times New Roman"/>
          <w:color w:val="000000" w:themeColor="text1"/>
        </w:rPr>
        <w:t xml:space="preserve"> tal pergunta tem aqui como resposta a própria enunciação: tantos são os modos o quanto for o número de fazeres. O pervasivo da cultura comporta a dimensão numérica </w:t>
      </w:r>
      <w:r w:rsidR="00755778" w:rsidRPr="00643422">
        <w:rPr>
          <w:rFonts w:ascii="Times New Roman" w:eastAsia="Calibri" w:hAnsi="Times New Roman" w:cs="Times New Roman"/>
          <w:color w:val="000000" w:themeColor="text1"/>
        </w:rPr>
        <w:t>da</w:t>
      </w:r>
      <w:r w:rsidRPr="00643422">
        <w:rPr>
          <w:rFonts w:ascii="Times New Roman" w:eastAsia="Calibri" w:hAnsi="Times New Roman" w:cs="Times New Roman"/>
          <w:color w:val="000000" w:themeColor="text1"/>
        </w:rPr>
        <w:t xml:space="preserve"> pr</w:t>
      </w:r>
      <w:r w:rsidR="00CA5CA1" w:rsidRPr="00643422">
        <w:rPr>
          <w:rFonts w:ascii="Times New Roman" w:eastAsia="Calibri" w:hAnsi="Times New Roman" w:cs="Times New Roman"/>
          <w:color w:val="000000" w:themeColor="text1"/>
        </w:rPr>
        <w:t>á</w:t>
      </w:r>
      <w:r w:rsidRPr="00643422">
        <w:rPr>
          <w:rFonts w:ascii="Times New Roman" w:eastAsia="Calibri" w:hAnsi="Times New Roman" w:cs="Times New Roman"/>
          <w:color w:val="000000" w:themeColor="text1"/>
        </w:rPr>
        <w:t xml:space="preserve">tica discursiva e não </w:t>
      </w:r>
      <w:r w:rsidR="00755778" w:rsidRPr="00643422">
        <w:rPr>
          <w:rFonts w:ascii="Times New Roman" w:eastAsia="Calibri" w:hAnsi="Times New Roman" w:cs="Times New Roman"/>
          <w:color w:val="000000" w:themeColor="text1"/>
        </w:rPr>
        <w:t xml:space="preserve">existe </w:t>
      </w:r>
      <w:r w:rsidRPr="00643422">
        <w:rPr>
          <w:rFonts w:ascii="Times New Roman" w:eastAsia="Calibri" w:hAnsi="Times New Roman" w:cs="Times New Roman"/>
          <w:i/>
          <w:color w:val="000000" w:themeColor="text1"/>
        </w:rPr>
        <w:t>à priori</w:t>
      </w:r>
      <w:r w:rsidRPr="00643422">
        <w:rPr>
          <w:rFonts w:ascii="Times New Roman" w:eastAsia="Calibri" w:hAnsi="Times New Roman" w:cs="Times New Roman"/>
          <w:color w:val="000000" w:themeColor="text1"/>
        </w:rPr>
        <w:t xml:space="preserve">. </w:t>
      </w:r>
      <w:r w:rsidR="00B46575">
        <w:rPr>
          <w:rFonts w:ascii="Times New Roman" w:eastAsia="Calibri" w:hAnsi="Times New Roman" w:cs="Times New Roman"/>
          <w:color w:val="000000" w:themeColor="text1"/>
        </w:rPr>
        <w:t>Por isso,</w:t>
      </w:r>
      <w:r w:rsidRPr="00643422">
        <w:rPr>
          <w:rFonts w:ascii="Times New Roman" w:eastAsia="Calibri" w:hAnsi="Times New Roman" w:cs="Times New Roman"/>
          <w:color w:val="000000" w:themeColor="text1"/>
        </w:rPr>
        <w:t xml:space="preserve"> para fundamentar tal resposta serão discutidos os termos em que os autores articulam culturalmente as abordagens matemáticas. </w:t>
      </w:r>
    </w:p>
    <w:p w14:paraId="7F898E3C"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 redução filosófica da educação matemática tem origem epistemológica na separação entre cultura e natureza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"10.1207/s15327833mtl0102_3", "ISSN" : "1098-6065", "author" : [ { "dropping-particle" : "", "family" : "D'Ambrosio", "given" : "Ubiratan", "non-dropping-particle" : "", "parse-names" : false, "suffix" : "" } ], "container-title" : "Mathematical Thinking and Learning", "id" : "ITEM-1", "issue" : "2", "issued" : { "date-parts" : [ [ "1999", "6", "1" ] ] }, "note" : "doi: 10.1207/s15327833mtl0102_3", "page" : "131-153", "publisher" : "Routledge", "title" : "Literacy, Matheracy, and Technocracy: A Trivium for Today", "type" : "article-journal", "volume" : "1" }, "locator" : "141, 146", "uris" : [ "http://www.mendeley.com/documents/?uuid=9c2c07d0-decb-4504-ae3b-12ef4f9773dc" ] } ], "mendeley" : { "formattedCitation" : "(D\u2019AMBROSIO, 1999, pp. 141, 146)", "plainTextFormattedCitation" : "(D\u2019AMBROSIO, 1999, pp. 141, 146)", "previouslyFormattedCitation" : "(D\u2019AMBROSIO, 1999, pp. 141, 146)"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1999, pp. 141, 146)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Tal redução pedagógica faz das relações de aprendizado técnicas de alfabetização e desconsidera evidências bio-semióticas compartilhadas com outros ramos filogenéticos (VELMEZOVA; COWLEY, 2015; COBLEY, 2016). Em termos evolutivos, a separação entre natureza e cultura não ocorre por ciência, mas por termos ideológicos. </w:t>
      </w:r>
    </w:p>
    <w:p w14:paraId="5B2280D1" w14:textId="77777777" w:rsidR="00F67353" w:rsidRPr="00643422" w:rsidRDefault="00F67353" w:rsidP="00F67353">
      <w:pPr>
        <w:keepNext/>
        <w:spacing w:before="120" w:line="360" w:lineRule="auto"/>
        <w:jc w:val="both"/>
        <w:outlineLvl w:val="0"/>
        <w:rPr>
          <w:rFonts w:ascii="Times New Roman" w:eastAsia="Calibri" w:hAnsi="Times New Roman" w:cs="Times New Roman"/>
          <w:b/>
          <w:color w:val="000000" w:themeColor="text1"/>
          <w:sz w:val="22"/>
          <w:szCs w:val="22"/>
        </w:rPr>
      </w:pPr>
      <w:r w:rsidRPr="00643422">
        <w:rPr>
          <w:rFonts w:ascii="Times New Roman" w:eastAsia="Calibri" w:hAnsi="Times New Roman" w:cs="Times New Roman"/>
          <w:b/>
          <w:color w:val="000000" w:themeColor="text1"/>
          <w:sz w:val="22"/>
          <w:szCs w:val="22"/>
        </w:rPr>
        <w:t>Etnomatemática e Cultura</w:t>
      </w:r>
    </w:p>
    <w:p w14:paraId="55B4B6DA" w14:textId="2DB61E1F"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Existem mitologias onde humanos e animais compartilham o nascimento ou características tais como parentesco ou fala. Há mitologias, em especial as monoteístas, que separam cultura e natureza (LÉVI-STRAUSS, 1958). Em quase todas,</w:t>
      </w:r>
      <w:r w:rsidR="00937511" w:rsidRPr="00643422">
        <w:rPr>
          <w:rFonts w:ascii="Times New Roman" w:eastAsia="Calibri" w:hAnsi="Times New Roman" w:cs="Times New Roman"/>
          <w:color w:val="000000" w:themeColor="text1"/>
        </w:rPr>
        <w:t xml:space="preserve"> há uma </w:t>
      </w:r>
      <w:r w:rsidRPr="00643422">
        <w:rPr>
          <w:rFonts w:ascii="Times New Roman" w:eastAsia="Calibri" w:hAnsi="Times New Roman" w:cs="Times New Roman"/>
          <w:color w:val="000000" w:themeColor="text1"/>
        </w:rPr>
        <w:t xml:space="preserve">cosmogonia (a origem do universo) </w:t>
      </w:r>
      <w:r w:rsidR="00937511" w:rsidRPr="00643422">
        <w:rPr>
          <w:rFonts w:ascii="Times New Roman" w:eastAsia="Calibri" w:hAnsi="Times New Roman" w:cs="Times New Roman"/>
          <w:color w:val="000000" w:themeColor="text1"/>
        </w:rPr>
        <w:t xml:space="preserve">que </w:t>
      </w:r>
      <w:r w:rsidRPr="00643422">
        <w:rPr>
          <w:rFonts w:ascii="Times New Roman" w:eastAsia="Calibri" w:hAnsi="Times New Roman" w:cs="Times New Roman"/>
          <w:color w:val="000000" w:themeColor="text1"/>
        </w:rPr>
        <w:t xml:space="preserve">vai para a cosmologia (origem do mundo); origem essa explicada por mitos, expressos </w:t>
      </w:r>
      <w:r w:rsidR="00B17FBF" w:rsidRPr="00643422">
        <w:rPr>
          <w:rFonts w:ascii="Times New Roman" w:eastAsia="Calibri" w:hAnsi="Times New Roman" w:cs="Times New Roman"/>
          <w:color w:val="000000" w:themeColor="text1"/>
        </w:rPr>
        <w:t>símbolos</w:t>
      </w:r>
      <w:r w:rsidRPr="00643422">
        <w:rPr>
          <w:rFonts w:ascii="Times New Roman" w:eastAsia="Calibri" w:hAnsi="Times New Roman" w:cs="Times New Roman"/>
          <w:color w:val="000000" w:themeColor="text1"/>
        </w:rPr>
        <w:t xml:space="preserve"> em rituais.</w:t>
      </w:r>
    </w:p>
    <w:p w14:paraId="10D7BCBD"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Dentro dos estudos apontados por Arouca-Araujo (2016) podem ser localizadas diversas discussões sobre o que se entende por cultura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"10.1007/978-94-011-4301-1", "ISBN" : "9789401143011", "author" : [ { "dropping-particle" : "", "family" : "Eglash", "given" : "Ron", "non-dropping-particle" : "", "parse-names" : false, "suffix" : "" } ], "container-title" : "Mathematics Across Cultures: The History of Non-Western Mathematics", "id" : "ITEM-1", "issued" : { "date-parts" : [ [ "2000" ] ] }, "page" : "13-22", "publisher" : "Kluwer Academic Publishers", "publisher-place" : "Dordrecht", "title" : "Anthropological Perspectives on Ethnomathematics", "type" : "chapter" }, "uris" : [ "http://www.mendeley.com/documents/?uuid=bbaf20ce-119a-46bb-afb8-690187531441" ] }, { "id" : "ITEM-2",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"ITEM-2", "issued" : { "date-parts" : [ [ "2000" ] ] }, "page" : "79-92", "publisher" : "Kluwer Academic Publishers", "publisher-place" : "Dordrecht", "title" : "A Historiographical Proposal for Non-Western Mathematics", "type" : "chapter" }, "uris" : [ "http://www.mendeley.com/documents/?uuid=828d6893-3fc7-46d2-b45b-f601283bc843" ] }, { "id" : "ITEM-3", "itemData" : { "ISBN" : "0080257968", "author" : [ { "dropping-particle" : "", "family" : "Wilder", "given" : "Raymond L.", "non-dropping-particle" : "", "parse-names" : false, "suffix" : "" } ], "collection-title" : "Foundations and Philosophy of Science and Technology", "id" : "ITEM-3", "issued" : { "date-parts" : [ [ "1981" ] ] }, "publisher" : "Pergamon Press", "publisher-place" : "Oxford", "title" : "Mathematics As a Cultural System", "type" : "book" }, "uris" : [ "http://www.mendeley.com/documents/?uuid=2225f50e-1107-4ec0-9da0-210d9384e6d4" ] }, { "id" : "ITEM-4", "itemData" : { "ISBN" : "0691120226", "author" : [ { "dropping-particle" : "", "family" : "Ascher", "given" : "Marcia", "non-dropping-particle" : "", "parse-names" : false, "suffix" : "" } ], "id" : "ITEM-4", "issued" : { "date-parts" : [ [ "2002" ] ] }, "publisher" : "Princeton University Press", "publisher-place" : "Princeton", "title" : "Mathematics Elsewhere An Exploration of Ideas Across Cultures", "type" : "book" }, "uris" : [ "http://www.mendeley.com/documents/?uuid=9b1bc434-3620-4cc9-be50-5772a05ddc71" ] }, { "id" : "ITEM-5", "itemData" : { "author" : [ { "dropping-particle" : "", "family" : "Powell", "given" : "Arthur B.", "non-dropping-particle" : "", "parse-names" : false, "suffix" : "" }, { "dropping-particle" : "", "family" : "Frankenstein", "given" : "Marilyn", "non-dropping-particle" : "", "parse-names" : false, "suffix" : "" } ], "editor" : [ { "dropping-particle" : "", "family" : "Powell", "given" : "Arthur B.", "non-dropping-particle" : "", "parse-names" : false, "suffix" : "" }, { "dropping-particle" : "", "family" : "Frankenstein", "given" : "Marilyn", "non-dropping-particle" : "", "parse-names" : false, "suffix" : "" } ], "id" : "ITEM-5", "issued" : { "date-parts" : [ [ "1997" ] ] }, "publisher" : "State University of New York Press", "publisher-place" : "New York", "title" : "Ethnomathematics Challenging Eurocentrism in Mathematics Education", "type" : "book" }, "uris" : [ "http://www.mendeley.com/documents/?uuid=4abec28b-e29d-4319-a21b-16fa064de440" ] }, { "id" : "ITEM-6", "itemData" : { "author" : [ { "dropping-particle" : "", "family" : "Domite", "given" : "Maria do Carmo", "non-dropping-particle" : "", "parse-names" : false, "suffix" : "" }, { "dropping-particle" : "", "family" : "Pais", "given" : "Alexandre Santos", "non-dropping-particle" : "", "parse-names" : false, "suffix" : "" } ], "container-title" : "CERME 6", "id" : "ITEM-6", "issue" : "2006", "issued" : { "date-parts" : [ [ "2010" ] ] }, "page" : "1473-1483", "publisher" : "INRP", "publisher-place" : "Lyon", "title" : "Understanding ethnomathematics from its criticisms and contradictions", "type" : "paper-conference" }, "uris" : [ "http://www.mendeley.com/documents/?uuid=946fc859-2970-4a5a-9af1-df8fa3cf4907" ] } ], "mendeley" : { "formattedCitation" : "(WILDER, 1981; POWELL; FRANKENSTEIN, 1997; D\u00b4AMBROSIO, 2000; EGLASH, 2000; ASCHER, 2002; DOMITE; PAIS, 2010)", "plainTextFormattedCitation" : "(WILDER, 1981; POWELL; FRANKENSTEIN, 1997; D\u00b4AMBROSIO, 2000; EGLASH, 2000; ASCHER, 2002; DOMITE; PAIS, 2010)", "previouslyFormattedCitation" : "(WILDER, 1981; POWELL; FRANKENSTEIN, 1997; D\u00b4AMBROSIO, 2000; EGLASH, 2000; ASCHER, 2002; DOMITE; PAIS, 2010)"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(WILDER, 1981; POWELL; FRANKENSTEIN, 1997; D´AMBROSIO, 2000; EGLASH, 2000; ASCHER, 2002; DOMITE; PAIS, 2010)</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Destas, aqui serão consideradas especificidades desse conceito, bem como usos considerados mais adequados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"79-92", "publisher" : "Kluwer Academic Publishers", "publisher-place" : "Dordrecht", "title" : "A Historiographical Proposal for Non-Western Mathematics", "type" : "chapter" }, "locator" : "79", "uris" : [ "http://www.mendeley.com/documents/?uuid=828d6893-3fc7-46d2-b45b-f601283bc843" ] }, { "id" : "ITEM-2", "itemData" : { "DOI" : "10.1007/978-94-011-4301-1", "ISBN" : "9789401143011", "author" : [ { "dropping-particle" : "", "family" : "Eglash", "given" : "Ron", "non-dropping-particle" : "", "parse-names" : false, "suffix" : "" } ], "container-title" : "Mathematics Across Cultures: The History of Non-Western Mathematics", "id" : "ITEM-2", "issued" : { "date-parts" : [ [ "2000" ] ] }, "page" : "13-22", "publisher" : "Kluwer Academic Publishers", "publisher-place" : "Dordrecht", "title" : "Anthropological Perspectives on Ethnomathematics", "type" : "chapter" }, "locator" : "14", "uris" : [ "http://www.mendeley.com/documents/?uuid=bbaf20ce-119a-46bb-afb8-690187531441" ] }, { "id" : "ITEM-3", "itemData" : { "ISBN" : "9781402002601", "collection-title" : "Science Across Cultures: the history of non-western science", "editor" : [ { "dropping-particle" : "", "family" : "Selin", "given" : "Helaine", "non-dropping-particle" : "", "parse-names" : false, "suffix" : "" } ], "id" : "ITEM-3", "issued" : { "date-parts" : [ [ "2000" ] ] }, "number-of-pages" : "1-12", "publisher" : "Kluwer Academic Publishers", "publisher-place" : "Dordrecht", "title" : "Mathematics Across Cultures", "type" : "book" }, "locator" : "xx", "uris" : [ "http://www.mendeley.com/documents/?uuid=c2b3fb28-1054-4435-b13e-52a604f7bed4" ] }, { "id" : "ITEM-4", "itemData" : { "author" : [ { "dropping-particle" : "", "family" : "Wood", "given" : "Leigh N.", "non-dropping-particle" : "", "parse-names" : false, "suffix" : "" } ], "container-title" : "Mathematics Across Cultures: The History of Non-Western Mathematics", "editor" : [ { "dropping-particle" : "", "family" : "Selin", "given" : "Helaine", "non-dropping-particle" : "", "parse-names" : false, "suffix" : "" } ], "id" : "ITEM-4", "issued" : { "date-parts" : [ [ "2000" ] ] }, "page" : "1-12", "publisher" : "Kluwer Academic Publishers", "publisher-place" : "Dordrecht", "title" : "Communicating mathematics across culture and time", "type" : "chapter" }, "locator" : "2", "uris" : [ "http://www.mendeley.com/documents/?uuid=1df21c2a-94f7-4a57-aaca-45b799e8b34d" ] }, { "id" : "ITEM-5", "itemData" : { "author" : [ { "dropping-particle" : "", "family" : "Domite", "given" : "Maria do Carmo", "non-dropping-particle" : "", "parse-names" : false, "suffix" : "" }, { "dropping-particle" : "", "family" : "Pais", "given" : "Alexandre Santos", "non-dropping-particle" : "", "parse-names" : false, "suffix" : "" } ], "container-title" : "CERME 6", "id" : "ITEM-5", "issue" : "2006", "issued" : { "date-parts" : [ [ "2010" ] ] }, "page" : "1473-1483", "publisher" : "INRP", "publisher-place" : "Lyon", "title" : "Understanding ethnomathematics from its criticisms and contradictions", "type" : "paper-conference" }, "locator" : "1478", "uris" : [ "http://www.mendeley.com/documents/?uuid=946fc859-2970-4a5a-9af1-df8fa3cf4907" ] } ], "mendeley" : { "formattedCitation" : "(D\u00b4AMBROSIO, 2000, p. 79; EGLASH, 2000, p. 14; SELIN, 2000, p. xx; WOOD, 2000, p. 2; DOMITE; PAIS, 2010, p. 1478)", "plainTextFormattedCitation" : "(D\u00b4AMBROSIO, 2000, p. 79; EGLASH, 2000, p. 14; SELIN, 2000, p. xx; WOOD, 2000, p. 2; DOMITE; PAIS, 2010, p. 1478)", "previouslyFormattedCitation" : "(D\u00b4AMBROSIO, 2000, p. 79; EGLASH, 2000, p. 14; SELIN, 2000, p. xx; WOOD, 2000, p. 2; DOMITE; PAIS, 2010, p. 1478)"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2000, p. 79; EGLASH, 2000, p. 14; SELIN, 2000, p. xx; WOOD, 2000, p. 2; DOMITE; PAIS, 2010, p. 1478)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menos apropriados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"0080257968", "author" : [ { "dropping-particle" : "", "family" : "Wilder", "given" : "Raymond L.", "non-dropping-particle" : "", "parse-names" : false, "suffix" : "" } ], "collection-title" : "Foundations and Philosophy of Science and Technology", "id" : "ITEM-1", "issued" : { "date-parts" : [ [ "1981" ] ] }, "publisher" : "Pergamon Press", "publisher-place" : "Oxford", "title" : "Mathematics As a Cultural System", "type" : "book" }, "locator" : "8", "uris" : [ "http://www.mendeley.com/documents/?uuid=2225f50e-1107-4ec0-9da0-210d9384e6d4" ] } ], "mendeley" : { "formattedCitation" : "(WILDER, 1981, p. 8)", "plainTextFormattedCitation" : "(WILDER, 1981, p. 8)", "previouslyFormattedCitation" : "(WILDER, 1981, p. 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(WILDER, 1981, p. 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tendo como critério, ainda que não declarado da dissolução entre a premissa platônica entre natureza e cultura.</w:t>
      </w:r>
    </w:p>
    <w:p w14:paraId="3F705595" w14:textId="788D0CFD"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O estudo das dimensões cultural, linguística e tecnológica da etnomatemática tem como principal instrumento, mas não único, as materialidades não verbais que a tradição aristotélica define como extralinguísticas. A crítica epistemológica das premissas platonistas e aristotélicas não visa eliminar esses modos de pensamento, senão torn</w:t>
      </w:r>
      <w:r w:rsidR="005E6506" w:rsidRPr="00643422">
        <w:rPr>
          <w:rFonts w:ascii="Times New Roman" w:eastAsia="Calibri" w:hAnsi="Times New Roman" w:cs="Times New Roman"/>
          <w:color w:val="000000" w:themeColor="text1"/>
        </w:rPr>
        <w:t>á</w:t>
      </w:r>
      <w:r w:rsidRPr="00643422">
        <w:rPr>
          <w:rFonts w:ascii="Times New Roman" w:eastAsia="Calibri" w:hAnsi="Times New Roman" w:cs="Times New Roman"/>
          <w:color w:val="000000" w:themeColor="text1"/>
        </w:rPr>
        <w:t>-las iguais a todas as demais, teorias, ao invés de verdades metafisicas. A crítica terminológica dos autores sugeridos por Arouca-Araujo (2016) não visa tornar inadequadas suas formulações, senão mostrar que expressas de diferentes maneiras mantém sua proposta original de olhar a dimensão cultura da matemática</w:t>
      </w:r>
    </w:p>
    <w:p w14:paraId="53901470" w14:textId="4D2F2A8C"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Um modo de comparação entre definições de cultura dentro da Etnomatemática é apontar historicamente as duas vertentes principais, não excludentes, mas direcionadas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"10.1007/978-94-011-4301-1", "ISBN" : "9789401143011", "author" : [ { "dropping-particle" : "", "family" : "Eglash", "given" : "Ron", "non-dropping-particle" : "", "parse-names" : false, "suffix" : "" } ], "container-title" : "Mathematics Across Cultures: The History of Non-Western Mathematics", "id" : "ITEM-1", "issued" : { "date-parts" : [ [ "2000" ] ] }, "page" : "13-22", "publisher" : "Kluwer Academic Publishers", "publisher-place" : "Dordrecht", "title" : "Anthropological Perspectives on Ethnomathematics", "type" : "chapter" }, "locator" : "13", "uris" : [ "http://www.mendeley.com/documents/?uuid=bbaf20ce-119a-46bb-afb8-690187531441" ] } ], "mendeley" : { "formattedCitation" : "(EGLASH, 2000, p. 13)", "plainTextFormattedCitation" : "(EGLASH, 2000, p. 13)", "previouslyFormattedCitation" : "(EGLASH, 2000, p. 13)"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(EGLASH, 2000, p. 13)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onde a primeira reconhece nas sociedades tradicionais a dimensão matemática. A </w:t>
      </w:r>
      <w:r w:rsidR="00495EA7" w:rsidRPr="00643422">
        <w:rPr>
          <w:rFonts w:ascii="Times New Roman" w:eastAsia="Calibri" w:hAnsi="Times New Roman" w:cs="Times New Roman"/>
          <w:color w:val="000000" w:themeColor="text1"/>
        </w:rPr>
        <w:t>segunda reconhece</w:t>
      </w:r>
      <w:r w:rsidR="0045267C" w:rsidRPr="00643422">
        <w:rPr>
          <w:rFonts w:ascii="Times New Roman" w:eastAsia="Calibri" w:hAnsi="Times New Roman" w:cs="Times New Roman"/>
          <w:color w:val="000000" w:themeColor="text1"/>
        </w:rPr>
        <w:t xml:space="preserve"> tal</w:t>
      </w:r>
      <w:r w:rsidRPr="00643422">
        <w:rPr>
          <w:rFonts w:ascii="Times New Roman" w:eastAsia="Calibri" w:hAnsi="Times New Roman" w:cs="Times New Roman"/>
          <w:color w:val="000000" w:themeColor="text1"/>
        </w:rPr>
        <w:t xml:space="preserve"> capacidade para qualquer comunidade de prática que faça uso de tecnologias simbólicas que envolvem dimensão matemática.</w:t>
      </w:r>
    </w:p>
    <w:p w14:paraId="596CE853" w14:textId="623E2B4C"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De acordo ainda com a mesma divisão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"10.1007/978-94-011-4301-1", "ISBN" : "9789401143011", "author" : [ { "dropping-particle" : "", "family" : "Eglash", "given" : "Ron", "non-dropping-particle" : "", "parse-names" : false, "suffix" : "" } ], "container-title" : "Mathematics Across Cultures: The History of Non-Western Mathematics", "id" : "ITEM-1", "issued" : { "date-parts" : [ [ "2000" ] ] }, "page" : "13-22", "publisher" : "Kluwer Academic Publishers", "publisher-place" : "Dordrecht", "title" : "Anthropological Perspectives on Ethnomathematics", "type" : "chapter" }, "locator" : "18", "uris" : [ "http://www.mendeley.com/documents/?uuid=bbaf20ce-119a-46bb-afb8-690187531441" ] } ], "mendeley" : { "formattedCitation" : "(EGLASH, 2000, p. 18)", "plainTextFormattedCitation" : "(EGLASH, 2000, p. 18)", "previouslyFormattedCitation" : "(EGLASH, 2000, p. 18)"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(EGLASH, 2000, p. 18)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é possível subdividir vertentes. Estas vão do “conhecimento vernáculo”, o saber local das sociedades, à “cognição situada”, ou às operações mentais </w:t>
      </w:r>
      <w:r w:rsidRPr="00643422">
        <w:rPr>
          <w:rFonts w:ascii="Times New Roman" w:eastAsia="Calibri" w:hAnsi="Times New Roman" w:cs="Times New Roman"/>
          <w:i/>
          <w:color w:val="000000" w:themeColor="text1"/>
        </w:rPr>
        <w:t>ad hoc</w:t>
      </w:r>
      <w:r w:rsidRPr="00643422">
        <w:rPr>
          <w:rFonts w:ascii="Times New Roman" w:eastAsia="Calibri" w:hAnsi="Times New Roman" w:cs="Times New Roman"/>
          <w:color w:val="000000" w:themeColor="text1"/>
        </w:rPr>
        <w:t xml:space="preserve"> necessárias para atividades determinadas; passam pelas variações “não formais”, como aquelas não determinadas pela alfabetização e mesmo a categoria ampla de estudos sobre a ciência, que estudam as relações entre cultura e matemáticas forma</w:t>
      </w:r>
      <w:r w:rsidR="004C4434" w:rsidRPr="00643422">
        <w:rPr>
          <w:rFonts w:ascii="Times New Roman" w:eastAsia="Calibri" w:hAnsi="Times New Roman" w:cs="Times New Roman"/>
          <w:color w:val="000000" w:themeColor="text1"/>
        </w:rPr>
        <w:t>i</w:t>
      </w:r>
      <w:r w:rsidRPr="00643422">
        <w:rPr>
          <w:rFonts w:ascii="Times New Roman" w:eastAsia="Calibri" w:hAnsi="Times New Roman" w:cs="Times New Roman"/>
          <w:color w:val="000000" w:themeColor="text1"/>
        </w:rPr>
        <w:t xml:space="preserve">s, </w:t>
      </w:r>
      <w:r w:rsidR="004C4434" w:rsidRPr="00643422">
        <w:rPr>
          <w:rFonts w:ascii="Times New Roman" w:eastAsia="Calibri" w:hAnsi="Times New Roman" w:cs="Times New Roman"/>
          <w:color w:val="000000" w:themeColor="text1"/>
        </w:rPr>
        <w:t xml:space="preserve">como a OBMEP, </w:t>
      </w:r>
      <w:r w:rsidRPr="00643422">
        <w:rPr>
          <w:rFonts w:ascii="Times New Roman" w:eastAsia="Calibri" w:hAnsi="Times New Roman" w:cs="Times New Roman"/>
          <w:color w:val="000000" w:themeColor="text1"/>
        </w:rPr>
        <w:t xml:space="preserve">podem ser considerados estudos de Etnomatemática.  </w:t>
      </w:r>
    </w:p>
    <w:p w14:paraId="4219979C" w14:textId="421DC31F"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Um olhar sobre os usos do conceito de cultura nos estudos etnomatemáticos revela por isso que a principal preocupação nesses trabalhos, sendo um campo híbrido, é a de situar teoricamente o lugar do qual se fala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"10.1007/978-94-011-4301-1", "ISBN" : "9789401143011", "author" : [ { "dropping-particle" : "", "family" : "Eglash", "given" : "Ron", "non-dropping-particle" : "", "parse-names" : false, "suffix" : "" } ], "container-title" : "Mathematics Across Cultures: The History of Non-Western Mathematics", "id" : "ITEM-1", "issued" : { "date-parts" : [ [ "2000" ] ] }, "page" : "13-22", "publisher" : "Kluwer Academic Publishers", "publisher-place" : "Dordrecht", "title" : "Anthropological Perspectives on Ethnomathematics", "type" : "chapter" }, "locator" : "18", "uris" : [ "http://www.mendeley.com/documents/?uuid=bbaf20ce-119a-46bb-afb8-690187531441" ] }, { "id" : "ITEM-2",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"ITEM-2", "issued" : { "date-parts" : [ [ "2000" ] ] }, "page" : "79-92", "publisher" : "Kluwer Academic Publishers", "publisher-place" : "Dordrecht", "title" : "A Historiographical Proposal for Non-Western Mathematics", "type" : "chapter" }, "locator" : "79, 84, 87,91", "uris" : [ "http://www.mendeley.com/documents/?uuid=828d6893-3fc7-46d2-b45b-f601283bc843" ] }, { "id" : "ITEM-3", "itemData" : { "author" : [ { "dropping-particle" : "", "family" : "Gerdes", "given" : "Paulus", "non-dropping-particle" : "", "parse-names" : false, "suffix" : "" } ], "container-title" : "Mathematics Across Cultures: The History of Non-Western Mathematics", "editor" : [ { "dropping-particle" : "", "family" : "Selin", "given" : "Helaine", "non-dropping-particle" : "", "parse-names" : false, "suffix" : "" } ], "id" : "ITEM-3", "issued" : { "date-parts" : [ [ "2000" ] ] }, "publisher" : "Springer Science+Business Media, B.V.", "publisher-place" : "Dordrecht", "title" : "On Mathematical Ideas in Cultural Traditions of Central and Southern Africa", "type" : "chapter" }, "locator" : "320", "uris" : [ "http://www.mendeley.com/documents/?uuid=e9dae77c-3889-4e13-a8bf-7751eb6100c0" ] }, { "id" : "ITEM-4", "itemData" : { "author" : [ { "dropping-particle" : "", "family" : "Wood", "given" : "Leigh N.", "non-dropping-particle" : "", "parse-names" : false, "suffix" : "" } ], "container-title" : "Mathematics Across Cultures: The History of Non-Western Mathematics", "editor" : [ { "dropping-particle" : "", "family" : "Selin", "given" : "Helaine", "non-dropping-particle" : "", "parse-names" : false, "suffix" : "" } ], "id" : "ITEM-4", "issued" : { "date-parts" : [ [ "2000" ] ] }, "page" : "1-12", "publisher" : "Kluwer Academic Publishers", "publisher-place" : "Dordrecht", "title" : "Communicating mathematics across culture and time", "type" : "chapter" }, "locator" : "2,7", "uris" : [ "http://www.mendeley.com/documents/?uuid=1df21c2a-94f7-4a57-aaca-45b799e8b34d" ] }, { "id" : "ITEM-5", "itemData" : { "author" : [ { "dropping-particle" : "", "family" : "Turnbull", "given" : "David", "non-dropping-particle" : "", "parse-names" : false, "suffix" : "" } ], "container-title" : "Mathematics Across Cultures: The History of Non-Western Mathematics", "editor" : [ { "dropping-particle" : "", "family" : "Selin", "given" : "Helaine", "non-dropping-particle" : "", "parse-names" : false, "suffix" : "" } ], "id" : "ITEM-5", "issued" : { "date-parts" : [ [ "2000" ] ] }, "publisher" : "Springer Science+Business Media, B.V.", "publisher-place" : "Dordrecht", "title" : "Rationality and the Disunity of the Sciences", "type" : "chapter" }, "locator" : "39-41", "uris" : [ "http://www.mendeley.com/documents/?uuid=992f4bb6-1e78-401b-a54a-8944b90c971c" ] }, { "id" : "ITEM-6", "itemData" : { "author" : [ { "dropping-particle" : "", "family" : "Gerdes", "given" : "Paulus", "non-dropping-particle" : "", "parse-names" : false, "suffix" : "" } ], "id" : "ITEM-6", "issued" : { "date-parts" : [ [ "2014" ] ] }, "publisher" : "Instituto Superior de Tecnologias e Gest\u00e3o (ISTEG) (Higher", "publisher-place" : "Boane", "title" : "Ethnomathematics and Education in Africa", "type" : "book" }, "locator" : "175", "uris" : [ "http://www.mendeley.com/documents/?uuid=9141a924-4bae-407f-8eae-2ea1e83194e5" ] }, { "id" : "ITEM-7", "itemData" : { "DOI" : "10.1007/978-981-10-5448-8", "ISBN" : "9789811054488", "author" : [ { "dropping-particle" : "", "family" : "Powell", "given" : "Arthur B.", "non-dropping-particle" : "", "parse-names" : false, "suffix" : "" } ], "container-title" : "STEM Education in the Junior Secondary", "id" : "ITEM-7", "issue" : "October 2017", "issued" : { "date-parts" : [ [ "2018" ] ] }, "publisher" : "Springer", "publisher-place" : "New Jersey", "title" : "Supporting Students \u2019 Productive Collaboration and Mathematics Learning in Online Environments", "type" : "article-journal" }, "locator" : "43", "uris" : [ "http://www.mendeley.com/documents/?uuid=c42fc902-8944-4da8-82a8-c462aeb9f6e9" ] }, { "id" : "ITEM-8", "itemData" : { "author" : [ { "dropping-particle" : "", "family" : "Domite", "given" : "Maria do Carmo", "non-dropping-particle" : "", "parse-names" : false, "suffix" : "" }, { "dropping-particle" : "", "family" : "Pais", "given" : "Alexandre Santos", "non-dropping-particle" : "", "parse-names" : false, "suffix" : "" } ], "container-title" : "CERME 6", "id" : "ITEM-8", "issue" : "2006", "issued" : { "date-parts" : [ [ "2010" ] ] }, "page" : "1473-1483", "publisher" : "INRP", "publisher-place" : "Lyon", "title" : "Understanding ethnomathematics from its criticisms and contradictions", "type" : "paper-conference" }, "locator" : "1480", "uris" : [ "http://www.mendeley.com/documents/?uuid=946fc859-2970-4a5a-9af1-df8fa3cf4907" ] } ], "mendeley" : { "formattedCitation" : "(D\u00b4AMBROSIO, 2000, pp. 79, 84, 87,91; EGLASH, 2000, p. 18; GERDES, 2000, p. 320, 2014, p. 175; TURNBULL, 2000, pp. 39\u201341; WOOD, 2000, p. 2,7; DOMITE; PAIS, 2010, p. 1480; POWELL, 2018, p. 43)", "plainTextFormattedCitation" : "(D\u00b4AMBROSIO, 2000, pp. 79, 84, 87,91; EGLASH, 2000, p. 18; GERDES, 2000, p. 320, 2014, p. 175; TURNBULL, 2000, pp. 39\u201341; WOOD, 2000, p. 2,7; DOMITE; PAIS, 2010, p. 1480; POWELL, 2018, p. 43)", "previouslyFormattedCitation" : "(D\u00b4AMBROSIO, 2000, pp. 79, 84, 87,91; EGLASH, 2000, p. 18; GERDES, 2000, p. 320, 2014, p. 175; TURNBULL, 2000, pp. 39\u201341; WOOD, 2000, p. 2,7; DOMITE; PAIS, 2010, p. 1480; POWELL, 2018, p. 43)"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lang w:val="en-US"/>
        </w:rPr>
        <w:t>(D´AMBROSIO, 2000, pp. 79, 84, 87,91; EGLASH, 2000, p. 18; GERDES, 2000, p. 320, 2014, p. 175; TURNBULL, 2000, pp. 39–41; WOOD, 2000, p. 2,7; DOMITE; PAIS, 2010, p. 1480; POWELL, 2018, p. 43)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lang w:val="en-US"/>
        </w:rPr>
        <w:t xml:space="preserve">. </w:t>
      </w:r>
      <w:r w:rsidRPr="00643422">
        <w:rPr>
          <w:rFonts w:ascii="Times New Roman" w:eastAsia="Calibri" w:hAnsi="Times New Roman" w:cs="Times New Roman"/>
          <w:color w:val="000000" w:themeColor="text1"/>
        </w:rPr>
        <w:t xml:space="preserve">Compreende-se que tal preocupação exista porque há críticas por dois motivos principais: o primeiro é a noção ideológica de não ver a matemática como tecnologia e sim como um modelo do pensamento que transcende a cultura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"10.1016/j.sbspro.2014.09.215", "ISSN" : "1877-0428", "author" : [ { "dropping-particle" : "", "family" : "Cimen", "given" : "O. Arda", "non-dropping-particle" : "", "parse-names" : false, "suffix" : "" } ], "container-title" : "Procedia - Social and Behavioral Sciences", "id" : "ITEM-1", "issued" : { "date-parts" : [ [ "2014" ] ] }, "page" : "523-528", "publisher" : "Elsevier B.V.", "title" : "Discussing ethnomathematics : Is mathematics culturally dependent ?", "type" : "article-journal", "volume" : "152" }, "locator" : "525", "uris" : [ "http://www.mendeley.com/documents/?uuid=84bf7a61-1eab-49b2-9b07-4045f36a8bf0" ] } ], "mendeley" : { "formattedCitation" : "(CIMEN, 2014, p. 525)", "plainTextFormattedCitation" : "(CIMEN, 2014, p. 525)", "previouslyFormattedCitation" : "(CIMEN, 2014, p. 525)"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(CIMEN, 2014, p. 525)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 consequentemente</w:t>
      </w:r>
      <w:r w:rsidR="00730CC3" w:rsidRPr="00643422">
        <w:rPr>
          <w:rFonts w:ascii="Times New Roman" w:eastAsia="Calibri" w:hAnsi="Times New Roman" w:cs="Times New Roman"/>
          <w:color w:val="000000" w:themeColor="text1"/>
        </w:rPr>
        <w:t xml:space="preserve"> a</w:t>
      </w:r>
      <w:r w:rsidRPr="00643422">
        <w:rPr>
          <w:rFonts w:ascii="Times New Roman" w:eastAsia="Calibri" w:hAnsi="Times New Roman" w:cs="Times New Roman"/>
          <w:color w:val="000000" w:themeColor="text1"/>
        </w:rPr>
        <w:t xml:space="preserve"> política. </w:t>
      </w:r>
    </w:p>
    <w:p w14:paraId="6ADA253E"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Outro motivo é a posição do campo frente à afirmação de que todas as sociedades produzem conhecimento descritível como matemático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"Powell", "given" : "Arthur B.", "non-dropping-particle" : "", "parse-names" : false, "suffix" : "" }, { "dropping-particle" : "", "family" : "Frankenstein", "given" : "Marilyn", "non-dropping-particle" : "", "parse-names" : false, "suffix" : "" } ], "editor" : [ { "dropping-particle" : "", "family" : "Powell", "given" : "Arthur B.", "non-dropping-particle" : "", "parse-names" : false, "suffix" : "" }, { "dropping-particle" : "", "family" : "Frankenstein", "given" : "Marilyn", "non-dropping-particle" : "", "parse-names" : false, "suffix" : "" } ], "id" : "ITEM-1", "issued" : { "date-parts" : [ [ "1997" ] ] }, "publisher" : "State University of New York Press", "publisher-place" : "New York", "title" : "Ethnomathematics Challenging Eurocentrism in Mathematics Education", "type" : "book" }, "uris" : [ "http://www.mendeley.com/documents/?uuid=4abec28b-e29d-4319-a21b-16fa064de440" ] }, { "id" : "ITEM-2", "itemData" : { "ISBN" : "9077874763", "author" : [ { "dropping-particle" : "", "family" : "D\u00b4Ambrosio", "given" : "Ubiratan", "non-dropping-particle" : "", "parse-names" : false, "suffix" : "" } ], "id" : "ITEM-2", "issued" : { "date-parts" : [ [ "2006" ] ] }, "publisher" : "Sense Publishers", "publisher-place" : "Rotterdam", "title" : "Ethnomathematics Link between Traditions and Modernity", "type" : "book" }, "uris" : [ "http://www.mendeley.com/documents/?uuid=071bdd72-b00a-4efb-ae3d-b2b778db6f99" ] }, { "id" : "ITEM-3",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"ITEM-3", "issued" : { "date-parts" : [ [ "2000" ] ] }, "page" : "79-92", "publisher" : "Kluwer Academic Publishers", "publisher-place" : "Dordrecht", "title" : "A Historiographical Proposal for Non-Western Mathematics", "type" : "chapter" }, "uris" : [ "http://www.mendeley.com/documents/?uuid=828d6893-3fc7-46d2-b45b-f601283bc843" ] }, { "id" : "ITEM-4", "itemData" : { "author" : [ { "dropping-particle" : "", "family" : "Powell", "given" : "Arthur B.", "non-dropping-particle" : "", "parse-names" : false, "suffix" : "" }, { "dropping-particle" : "", "family" : "Bairral", "given" : "Marcelo", "non-dropping-particle" : "", "parse-names" : false, "suffix" : "" } ], "container-title" : "Perspectivas em Educa\u00e7\u00e3o Matem\u00e1tica", "id" : "ITEM-4", "issued" : { "date-parts" : [ [ "2006" ] ] }, "publisher" : "Papirus", "publisher-place" : "Campinas", "title" : "A escrita e o pensamento matem\u00e1tico: intera\u00e7\u00f5es e potencialidades", "type" : "chapter" }, "uris" : [ "http://www.mendeley.com/documents/?uuid=ce939c02-42d6-466c-a173-cfee9d123c80" ] } ], "mendeley" : { "formattedCitation" : "(POWELL; FRANKENSTEIN, 1997; D\u00b4AMBROSIO, 2000, 2006; POWELL; BAIRRAL, 2006)", "plainTextFormattedCitation" : "(POWELL; FRANKENSTEIN, 1997; D\u00b4AMBROSIO, 2000, 2006; POWELL; BAIRRAL, 2006)", "previouslyFormattedCitation" : "(POWELL; FRANKENSTEIN, 1997; D\u00b4AMBROSIO, 2000, 2006; POWELL; BAIRRAL, 2006)"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(POWELL; FRANKENSTEIN, 1997; D´AMBROSIO, 2000, 2006; POWELL; BAIRRAL, 2006)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Tal afirmação, ainda que contestada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"Vithal", "given" : "Renuka", "non-dropping-particle" : "", "parse-names" : false, "suffix" : "" }, { "dropping-particle" : "", "family" : "Skovsmose", "given" : "Ole", "non-dropping-particle" : "", "parse-names" : false, "suffix" : "" } ], "container-title" : "Educational Studies in Mathematics", "id" : "ITEM-1", "issued" : { "date-parts" : [ [ "1997" ] ] }, "page" : "131-158", "publisher" : "Kluwer Academic Publishers", "title" : "The end of innocence: a critique of \u2018ethnomathematics\u2019", "type" : "article-journal", "volume" : "34" }, "locator" : "141", "uris" : [ "http://www.mendeley.com/documents/?uuid=e5bdfab9-1ab9-4b0b-9656-bf62595826d2" ] } ], "mendeley" : { "formattedCitation" : "(VITHAL; SKOVSMOSE, 1997, p. 141)", "plainTextFormattedCitation" : "(VITHAL; SKOVSMOSE, 1997, p. 141)", "previouslyFormattedCitation" : "(VITHAL; SKOVSMOSE, 1997, p. 141)"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(VITHAL; SKOVSMOSE, 1997, p. 141)</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é expressa, em maior ou menor grau, em conformidade à compreensão antropológica de que o conhecimento de um grupo social é um fenômeno pela cultura na qual este é produzido, e não a ascensão a uma dimensão supra-humana.</w:t>
      </w:r>
    </w:p>
    <w:p w14:paraId="4DD3B91A" w14:textId="50C65A7A"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As definições culturais dos estudos etnomatemáticos têm, portanto, divergências quanto ao que se entende por cultura. Estas diferenças ocorrem em boa parte, devido à linguagem utilizada para descrevê-las. O uso de terminologias que favoreçam às respectivas argumentações é um procedimento estruturalmente v</w:t>
      </w:r>
      <w:r w:rsidR="00CD376F" w:rsidRPr="00643422">
        <w:rPr>
          <w:rFonts w:ascii="Times New Roman" w:eastAsia="Calibri" w:hAnsi="Times New Roman" w:cs="Times New Roman"/>
          <w:color w:val="000000" w:themeColor="text1"/>
        </w:rPr>
        <w:t>á</w:t>
      </w:r>
      <w:r w:rsidRPr="00643422">
        <w:rPr>
          <w:rFonts w:ascii="Times New Roman" w:eastAsia="Calibri" w:hAnsi="Times New Roman" w:cs="Times New Roman"/>
          <w:color w:val="000000" w:themeColor="text1"/>
        </w:rPr>
        <w:t xml:space="preserve">lido, </w:t>
      </w:r>
      <w:r w:rsidR="00937448" w:rsidRPr="00643422">
        <w:rPr>
          <w:rFonts w:ascii="Times New Roman" w:eastAsia="Calibri" w:hAnsi="Times New Roman" w:cs="Times New Roman"/>
          <w:color w:val="000000" w:themeColor="text1"/>
        </w:rPr>
        <w:t xml:space="preserve">mas não neutro. Implica </w:t>
      </w:r>
      <w:r w:rsidRPr="00643422">
        <w:rPr>
          <w:rFonts w:ascii="Times New Roman" w:eastAsia="Calibri" w:hAnsi="Times New Roman" w:cs="Times New Roman"/>
          <w:color w:val="000000" w:themeColor="text1"/>
        </w:rPr>
        <w:t>em perspectivar os elementos conceituados; quando se pretende compará-los, encontra-se dificuldades.</w:t>
      </w:r>
      <w:r w:rsidR="00412C13" w:rsidRPr="00643422">
        <w:rPr>
          <w:rFonts w:ascii="Times New Roman" w:eastAsia="Calibri" w:hAnsi="Times New Roman" w:cs="Times New Roman"/>
          <w:color w:val="000000" w:themeColor="text1"/>
        </w:rPr>
        <w:t xml:space="preserve"> </w:t>
      </w:r>
      <w:r w:rsidR="005E6489" w:rsidRPr="00643422">
        <w:rPr>
          <w:rFonts w:ascii="Times New Roman" w:eastAsia="Calibri" w:hAnsi="Times New Roman" w:cs="Times New Roman"/>
          <w:color w:val="000000" w:themeColor="text1"/>
        </w:rPr>
        <w:t>A linguagem permeia as ações permitindo à cognição tanto à estrutura quanto a modulação necessárias para a criação tecnológica.</w:t>
      </w:r>
    </w:p>
    <w:p w14:paraId="39D33801" w14:textId="77777777" w:rsidR="00F67353" w:rsidRPr="00643422" w:rsidRDefault="00F67353" w:rsidP="00F67353">
      <w:pPr>
        <w:keepNext/>
        <w:spacing w:before="120" w:line="360" w:lineRule="auto"/>
        <w:jc w:val="both"/>
        <w:outlineLvl w:val="0"/>
        <w:rPr>
          <w:rFonts w:ascii="Times New Roman" w:eastAsia="Calibri" w:hAnsi="Times New Roman" w:cs="Times New Roman"/>
          <w:b/>
          <w:color w:val="000000" w:themeColor="text1"/>
          <w:sz w:val="22"/>
          <w:szCs w:val="22"/>
        </w:rPr>
      </w:pPr>
      <w:r w:rsidRPr="00643422">
        <w:rPr>
          <w:rFonts w:ascii="Times New Roman" w:eastAsia="Calibri" w:hAnsi="Times New Roman" w:cs="Times New Roman"/>
          <w:b/>
          <w:color w:val="000000" w:themeColor="text1"/>
          <w:sz w:val="22"/>
          <w:szCs w:val="22"/>
        </w:rPr>
        <w:t>Etnomatemática e Linguagem</w:t>
      </w:r>
    </w:p>
    <w:p w14:paraId="7718555A" w14:textId="11BE1900"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 percepção da distinção entre língua e linguagem feita pela linguística existe nas pesquisas etnomatemáticas, podendo variar, assim como as concepções antropológicas. A principal forma de percepção de como as palavras operam em relação à matemática é dada pelos números, mas paralelo a esses, outras materialidades são expressas nessas pesquisas. Desde explicitamente pensadas como discurso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"Skovsmose", "given" : "Ole", "non-dropping-particle" : "", "parse-names" : false, "suffix" : "" } ], "container-title" : "BOLEMA \u2013 Mathematics Education Bulletin", "id" : "ITEM-1", "issued" : { "date-parts" : [ [ "1980" ] ] }, "page" : "18-37", "publisher" : "UNESP", "publisher-place" : "Rio Claro", "title" : "( Ethno ) mathematics as discourse ( Etno ) matem\u00e1tica como discurso", "type" : "article-journal", "volume" : "02" }, "locator" : "19-23", "uris" : [ "http://www.mendeley.com/documents/?uuid=df0c5ecb-da59-447b-9b9b-d45528d923da" ] } ], "mendeley" : { "formattedCitation" : "(SKOVSMOSE, 1980, pp. 19\u201323)", "plainTextFormattedCitation" : "(SKOVSMOSE, 1980, pp. 19\u201323)", "previouslyFormattedCitation" : "(SKOVSMOSE, 1980, pp. 19\u201323)"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(SKOVSMOSE, 1980, pp. 19–23)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como intersecções entre língua e aprendizado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"Gerdes", "given" : "Paulus", "non-dropping-particle" : "", "parse-names" : false, "suffix" : "" } ], "container-title" : "Historia Mathematica", "id" : "ITEM-1", "issued" : { "date-parts" : [ [ "1994" ] ] }, "page" : "345-376", "publisher" : "Academic Press", "title" : "On Mathematics in the History of Sub-Saharan Africa", "type" : "article-journal", "volume" : "21" }, "locator" : "359", "uris" : [ "http://www.mendeley.com/documents/?uuid=35cb413a-931d-4c77-94f1-314d576eb402" ] }, { "id" : "ITEM-2", "itemData" : { "author" : [ { "dropping-particle" : "", "family" : "Powell", "given" : "Arthur B.", "non-dropping-particle" : "", "parse-names" : false, "suffix" : "" }, { "dropping-particle" : "", "family" : "Bairral", "given" : "Marcelo", "non-dropping-particle" : "", "parse-names" : false, "suffix" : "" } ], "container-title" : "Perspectivas em Educa\u00e7\u00e3o Matem\u00e1tica", "id" : "ITEM-2", "issued" : { "date-parts" : [ [ "2006" ] ] }, "publisher" : "Papirus", "publisher-place" : "Campinas", "title" : "A escrita e o pensamento matem\u00e1tico: intera\u00e7\u00f5es e potencialidades", "type" : "chapter" }, "uris" : [ "http://www.mendeley.com/documents/?uuid=ce939c02-42d6-466c-a173-cfee9d123c80" ] }, { "id" : "ITEM-3", "itemData" : { "DOI" : "10.1016/j.jmathb.2017.08.004", "ISSN" : "0732-3123", "author" : [ { "dropping-particle" : "", "family" : "Powell", "given" : "Arthur B.", "non-dropping-particle" : "", "parse-names" : false, "suffix" : "" } ], "container-title" : "Journal of Mathematical Behavior", "id" : "ITEM-3", "issue" : "January 2018", "issued" : { "date-parts" : [ [ "2017" ] ] }, "page" : "77-94", "publisher" : "Elsevier", "title" : "Mediational activities in a dynamic geometry environment and teachers \u2019 specialized content knowledge", "type" : "article-journal", "volume" : "48" }, "uris" : [ "http://www.mendeley.com/documents/?uuid=4231ca0d-c050-431e-b9e7-46bba2348c8d" ] } ], "mendeley" : { "formattedCitation" : "(GERDES, 1994, p. 359; POWELL; BAIRRAL, 2006; POWELL, 2017)", "plainTextFormattedCitation" : "(GERDES, 1994, p. 359; POWELL; BAIRRAL, 2006; POWELL, 2017)", "previouslyFormattedCitation" : "(GERDES, 1994, p. 359; POWELL; BAIRRAL, 2006; POWELL, 2017)"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(GERDES, 1994, p. 359; POWELL; BAIRRAL, 2006; POWELL, 2017)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questões epistemológicas de análise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"Turnbull", "given" : "David",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"publisher" : "Springer Science+Business Media, B.V.", "publisher-place" : "Dordrecht", "title" : "Rationality and the Disunity of the Sciences", "type" : "chapter" }, "locator" : "50, 52", "uris" : [ "http://www.mendeley.com/documents/?uuid=992f4bb6-1e78-401b-a54a-8944b90c971c" ] } ], "mendeley" : { "formattedCitation" : "(TURNBULL, 2000, pp. 50, 52)", "plainTextFormattedCitation" : "(TURNBULL, 2000, pp. 50, 52)", "previouslyFormattedCitation" : "(TURNBULL, 2000, pp. 50, 52)"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(TURNBULL, 2000, pp. 50, 52)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como dimensão comunicacional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"Wood", "given" : "Leigh 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"1-12", "publisher" : "Kluwer Academic Publishers", "publisher-place" : "Dordrecht", "title" : "Communicating mathematics across culture and time", "type" : "chapter" }, "locator" : "2", "uris" : [ "http://www.mendeley.com/documents/?uuid=1df21c2a-94f7-4a57-aaca-45b799e8b34d" ] } ], "mendeley" : { "formattedCitation" : "(WOOD, 2000, p. 2)", "plainTextFormattedCitation" : "(WOOD, 2000, p. 2)", "previouslyFormattedCitation" : "(WOOD, 2000, p. 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(WOOD, 2000, p. 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como aspectos lógicos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"Verran", "given" : "Helen", "non-dropping-particle" : "", "parse-names" : false, "suffix" : "" } ], "container-title" : "Mathematics Across Cultures: The History of Non-Western Mathematics", "id" : "ITEM-1", "issued" : { "date-parts" : [ [ "2000" ] ] }, "publisher" : "Springer Science+Business Media, B.V.", "publisher-place" : "Dordrecht", "title" : "Logics and Mathematics: Challenges Arising in Working across Cultures", "type" : "chapter" }, "locator" : "65", "uris" : [ "http://www.mendeley.com/documents/?uuid=f170d048-7d96-4e34-92e2-f90f37c20d19" ] } ], "mendeley" : { "formattedCitation" : "(VERRAN, 2000, p. 65)", "plainTextFormattedCitation" : "(VERRAN, 2000, p. 65)", "previouslyFormattedCitation" : "(VERRAN, 2000, p. 65)"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(VERRAN, 2000, p. 65)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como elemento da escrita matemática mediados por alfabeto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"Powell", "given" : "Arthur B.", "non-dropping-particle" : "", "parse-names" : false, "suffix" : "" }, { "dropping-particle" : "", "family" : "Bairral", "given" : "Marcelo", "non-dropping-particle" : "", "parse-names" : false, "suffix" : "" } ], "container-title" : "Perspectivas em Educa\u00e7\u00e3o Matem\u00e1tica", "id" : "ITEM-1", "issued" : { "date-parts" : [ [ "2006" ] ] }, "publisher" : "Papirus", "publisher-place" : "Campinas", "title" : "A escrita e o pensamento matem\u00e1tico: intera\u00e7\u00f5es e potencialidades", "type" : "chapter" }, "uris" : [ "http://www.mendeley.com/documents/?uuid=ce939c02-42d6-466c-a173-cfee9d123c80" ] } ], "mendeley" : { "formattedCitation" : "(POWELL; BAIRRAL, 2006)", "plainTextFormattedCitation" : "(POWELL; BAIRRAL, 2006)", "previouslyFormattedCitation" : "(POWELL; BAIRRAL, 2006)"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(POWELL; BAIRRAL, 2006)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w:t>
      </w:r>
      <w:r w:rsidR="0060678C" w:rsidRPr="00643422">
        <w:rPr>
          <w:rFonts w:ascii="Times New Roman" w:eastAsia="Calibri" w:hAnsi="Times New Roman" w:cs="Times New Roman"/>
          <w:color w:val="000000" w:themeColor="text1"/>
        </w:rPr>
        <w:t>até</w:t>
      </w:r>
      <w:r w:rsidRPr="00643422">
        <w:rPr>
          <w:rFonts w:ascii="Times New Roman" w:eastAsia="Calibri" w:hAnsi="Times New Roman" w:cs="Times New Roman"/>
          <w:color w:val="000000" w:themeColor="text1"/>
        </w:rPr>
        <w:t xml:space="preserve"> como discursividade não verbal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"10.1016/j.jmathb.2017.08.004", "ISSN" : "0732-3123", "author" : [ { "dropping-particle" : "", "family" : "Powell", "given" : "Arthur B.", "non-dropping-particle" : "", "parse-names" : false, "suffix" : "" } ], "container-title" : "Journal of Mathematical Behavior", "id" : "ITEM-1", "issue" : "January 2018", "issued" : { "date-parts" : [ [ "2017" ] ] }, "page" : "77-94", "publisher" : "Elsevier", "title" : "Mediational activities in a dynamic geometry environment and teachers \u2019 specialized content knowledge", "type" : "article-journal", "volume" : "48" }, "uris" : [ "http://www.mendeley.com/documents/?uuid=4231ca0d-c050-431e-b9e7-46bba2348c8d" ] }, { "id" : "ITEM-2", "itemData" : { "author" : [ { "dropping-particle" : "", "family" : "Gerdes", "given" : "Paulus", "non-dropping-particle" : "", "parse-names" : false, "suffix" : "" } ], "id" : "ITEM-2", "issued" : { "date-parts" : [ [ "2012" ] ] }, "publisher" : "ISTEG-University", "publisher-place" : "Boane", "title" : "Lusona: Geometrical Recreations from Africa. Problems and Solutions", "type" : "book" }, "uris" : [ "http://www.mendeley.com/documents/?uuid=8c04c1b6-1622-4d0b-87d1-0d8b073b64d0" ] } ], "mendeley" : { "formattedCitation" : "(GERDES, 2012a; POWELL, 2017)", "plainTextFormattedCitation" : "(GERDES, 2012a; POWELL, 2017)", "previouslyFormattedCitation" : "(GERDES, 2012a; POWELL, 2017)"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(GERDES, 2012a; POWELL, 2017)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w:t>
      </w:r>
    </w:p>
    <w:p w14:paraId="7B8F5979"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Há abordagens etnomatemáticas que apontam diretamente o platonismo na linguagem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"Borba", "given" : "Marcelo C.", "non-dropping-particle" : "", "parse-names" : false, "suffix" : "" }, { "dropping-particle" : "", "family" : "Skovsmose", "given" : "Ole", "non-dropping-particle" : "", "parse-names" : false, "suffix" : "" } ], "container-title" : "For the Learning of Mathematics", "id" : "ITEM-1", "issue" : "November", "issued" : { "date-parts" : [ [ "1997" ] ] }, "page" : "17-23", "publisher" : "FLM Publishing Association", "publisher-place" : "Kingston", "title" : "The Ideology of Certainty in Mathematics Education", "type" : "article-journal", "volume" : "3" }, "uris" : [ "http://www.mendeley.com/documents/?uuid=54dd65b3-1f5d-4386-9bd4-cf0240328d49" ] }, { "id" : "ITEM-2", "itemData" : { "author" : [ { "dropping-particle" : "", "family" : "Eglash", "given" : "Ron", "non-dropping-particle" : "", "parse-names" : false, "suffix" : "" } ], "container-title" : "American Anthropologist", "id" : "ITEM-2", "issue" : "1", "issued" : { "date-parts" : [ [ "1997" ] ] }, "page" : "112-122", "publisher" : "American Anthropological Association", "publisher-place" : "Washington", "title" : "Recursion in Ethnomathematics", "type" : "article-journal", "volume" : "99" }, "locator" : "112", "uris" : [ "http://www.mendeley.com/documents/?uuid=fdf4c11e-304f-4c9b-b9e6-372d425e4e5e" ] }, { "id" : "ITEM-3", "itemData" : { "author" : [ { "dropping-particle" : "", "family" : "Barton", "given" : "Bill", "non-dropping-particle" : "", "parse-names" : false, "suffix" : "" } ], "id" : "ITEM-3", "issued" : { "date-parts" : [ [ "1990" ] ] }, "page" : "54-58", "title" : "Ethnomathematics and Philosophy", "type" : "article-journal" }, "locator" : "55", "uris" : [ "http://www.mendeley.com/documents/?uuid=0f5a343b-0931-49ad-ae14-1ac94f5455aa" ] }, { "id" : "ITEM-4", "itemData" : { "author" : [ { "dropping-particle" : "", "family" : "Joseph", "given" : "George Gheverghese", "non-dropping-particle" : "", "parse-names" : false, "suffix" : "" } ], "id" : "ITEM-4", "issued" : { "date-parts" : [ [ "2011" ] ] }, "publisher" : "Princeton University Press", "publisher-place" : "Princeton", "title" : "The Crest of the Peacock - Non European Roots of Mathematics", "type" : "book" }, "locator" : "26", "uris" : [ "http://www.mendeley.com/documents/?uuid=8524972b-34b1-4193-8b32-aa31c985dd6a" ] } ], "mendeley" : { "formattedCitation" : "(BARTON, 1990, p. 55; BORBA; SKOVSMOSE, 1997; EGLASH, 1997, p. 112; JOSEPH, 2011, p. 26)", "plainTextFormattedCitation" : "(BARTON, 1990, p. 55; BORBA; SKOVSMOSE, 1997; EGLASH, 1997, p. 112; JOSEPH, 2011, p. 26)", "previouslyFormattedCitation" : "(BARTON, 1990, p. 55; BORBA; SKOVSMOSE, 1997; EGLASH, 1997, p. 112; JOSEPH, 2011, p. 26)"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(BARTON, 1990, p. 55; BORBA; SKOVSMOSE, 1997; EGLASH, 1997, p. 112; JOSEPH, 2011, p. 26)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outras, de modo extensivo, fazem notar expressões como essencialismo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"10.1007/s10649-010-9289-7", "author" : [ { "dropping-particle" : "", "family" : "Pais", "given" : "Alexandre", "non-dropping-particle" : "", "parse-names" : false, "suffix" : "" } ], "container-title" : "Educational Studies in Mathematics", "id" : "ITEM-1", "issue" : "December 2010", "issued" : { "date-parts" : [ [ "2011" ] ] }, "page" : "209-230", "publisher" : "Springer Netherlands", "publisher-place" : "Berlin", "title" : "Criticisms and contradictions of ethnomathematics", "type" : "article-journal" }, "locator" : "215", "uris" : [ "http://www.mendeley.com/documents/?uuid=4af364b2-df71-4fa7-a42b-a7fe9449da47" ] } ], "mendeley" : { "formattedCitation" : "(PAIS, 2011, p. 215)", "plainTextFormattedCitation" : "(PAIS, 2011, p. 215)", "previouslyFormattedCitation" : "(PAIS, 2011, p. 215)"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(PAIS, 2011, p. 215)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a primazia do alfabeto observada em casos onde outras materialidades não verbais  estão sob análise de fontes com premissas eurocêntricas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"Powell", "given" : "Arthur B.", "non-dropping-particle" : "", "parse-names" : false, "suffix" : "" }, { "dropping-particle" : "", "family" : "Frankenstein", "given" : "Marilyn", "non-dropping-particle" : "", "parse-names" : false, "suffix" : "" } ], "editor" : [ { "dropping-particle" : "", "family" : "Powell", "given" : "Arthur B.", "non-dropping-particle" : "", "parse-names" : false, "suffix" : "" }, { "dropping-particle" : "", "family" : "Frankenstein", "given" : "Marilyn", "non-dropping-particle" : "", "parse-names" : false, "suffix" : "" } ], "id" : "ITEM-1", "issued" : { "date-parts" : [ [ "1997" ] ] }, "publisher" : "State University of New York Press", "publisher-place" : "New York", "title" : "Ethnomathematics Challenging Eurocentrism in Mathematics Education", "type" : "book" }, "locator" : "328", "uris" : [ "http://www.mendeley.com/documents/?uuid=4abec28b-e29d-4319-a21b-16fa064de440" ] } ], "mendeley" : { "formattedCitation" : "(POWELL; FRANKENSTEIN, 1997, p. 328)", "plainTextFormattedCitation" : "(POWELL; FRANKENSTEIN, 1997, p. 328)", "previouslyFormattedCitation" : "(POWELL; FRANKENSTEIN, 1997, p. 328)"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(POWELL; FRANKENSTEIN, 1997, p. 328)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todas concentram esforços na necessária mudança de paradigma para construção de seus objetos teóricos e pedagógicos. Tal observação não as coloca como usos equivocados, mas considera-se que expandir tal perspectiva possa ajudar a entender que há dimensões maiores que facilitem a situar melhor tais concepções abordadas.</w:t>
      </w:r>
    </w:p>
    <w:p w14:paraId="456879DB" w14:textId="24CF48D2"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Esta preocupação com os aspectos híbridos </w:t>
      </w:r>
      <w:r w:rsidR="007D217C" w:rsidRPr="00643422">
        <w:rPr>
          <w:rFonts w:ascii="Times New Roman" w:eastAsia="Calibri" w:hAnsi="Times New Roman" w:cs="Times New Roman"/>
          <w:color w:val="000000" w:themeColor="text1"/>
        </w:rPr>
        <w:t>permite</w:t>
      </w:r>
      <w:r w:rsidRPr="00643422">
        <w:rPr>
          <w:rFonts w:ascii="Times New Roman" w:eastAsia="Calibri" w:hAnsi="Times New Roman" w:cs="Times New Roman"/>
          <w:color w:val="000000" w:themeColor="text1"/>
        </w:rPr>
        <w:t xml:space="preserve"> falar em “etnomatemáticas” como a junção </w:t>
      </w:r>
      <w:r w:rsidR="0070573D" w:rsidRPr="00643422">
        <w:rPr>
          <w:rFonts w:ascii="Times New Roman" w:eastAsia="Calibri" w:hAnsi="Times New Roman" w:cs="Times New Roman"/>
          <w:color w:val="000000" w:themeColor="text1"/>
        </w:rPr>
        <w:t xml:space="preserve">de </w:t>
      </w:r>
      <w:r w:rsidRPr="00643422">
        <w:rPr>
          <w:rFonts w:ascii="Times New Roman" w:eastAsia="Calibri" w:hAnsi="Times New Roman" w:cs="Times New Roman"/>
          <w:color w:val="000000" w:themeColor="text1"/>
        </w:rPr>
        <w:t xml:space="preserve">categorias, técnicas, comportamento, comunicação, linguagem, história, sistemas de valores, religiões e ciências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"79-92", "publisher" : "Kluwer Academic Publishers", "publisher-place" : "Dordrecht", "title" : "A Historiographical Proposal for Non-Western Mathematics", "type" : "chapter" }, "locator" : "91", "uris" : [ "http://www.mendeley.com/documents/?uuid=828d6893-3fc7-46d2-b45b-f601283bc843" ] } ], "mendeley" : { "formattedCitation" : "(D\u00b4AMBROSIO, 2000, p. 91)", "plainTextFormattedCitation" : "(D\u00b4AMBROSIO, 2000, p. 91)", "previouslyFormattedCitation" : "(D\u00b4AMBROSIO, 2000, p. 91)"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2000, p. 91)</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O fato da linguagem ser tema e instrumento é outra fonte de necessária distinção. Há, por isso</w:t>
      </w:r>
      <w:r w:rsidR="0070573D" w:rsidRPr="00643422">
        <w:rPr>
          <w:rFonts w:ascii="Times New Roman" w:eastAsia="Calibri" w:hAnsi="Times New Roman" w:cs="Times New Roman"/>
          <w:color w:val="000000" w:themeColor="text1"/>
        </w:rPr>
        <w:t>,</w:t>
      </w:r>
      <w:r w:rsidRPr="00643422">
        <w:rPr>
          <w:rFonts w:ascii="Times New Roman" w:eastAsia="Calibri" w:hAnsi="Times New Roman" w:cs="Times New Roman"/>
          <w:color w:val="000000" w:themeColor="text1"/>
        </w:rPr>
        <w:t xml:space="preserve"> a tendência a confundir, intercambiar ou opor termos como linguagem, língua, comunicação e discurso.</w:t>
      </w:r>
    </w:p>
    <w:p w14:paraId="5417ACFC" w14:textId="71CBCF7A"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Devido a primazia aristotélica dada ao alfabeto, em geral, as linguagens não verbais são vistas pela ótica eurocêntrica como insuficientes para formas de significação complexa. Ocorre que, já dito, a terminologia pode tanto reduzir o escopo de</w:t>
      </w:r>
      <w:r w:rsidR="0070573D" w:rsidRPr="00643422">
        <w:rPr>
          <w:rFonts w:ascii="Times New Roman" w:eastAsia="Calibri" w:hAnsi="Times New Roman" w:cs="Times New Roman"/>
          <w:color w:val="000000" w:themeColor="text1"/>
        </w:rPr>
        <w:t xml:space="preserve"> utilidade quanto amplia-lo. Não obstante</w:t>
      </w:r>
      <w:r w:rsidRPr="00643422">
        <w:rPr>
          <w:rFonts w:ascii="Times New Roman" w:eastAsia="Calibri" w:hAnsi="Times New Roman" w:cs="Times New Roman"/>
          <w:color w:val="000000" w:themeColor="text1"/>
        </w:rPr>
        <w:t xml:space="preserve">, uma descrição aprofundada das materialidades não verbais revela que exemplos como os Quipos do Peru, ou os cúbitos Maya ou egípcio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"0691120226", "author" : [ { "dropping-particle" : "", "family" : "Ascher", "given" : "Marcia", "non-dropping-particle" : "", "parse-names" : false, "suffix" : "" } ], "id" : "ITEM-1", "issued" : { "date-parts" : [ [ "2002" ] ] }, "publisher" : "Princeton University Press", "publisher-place" : "Princeton", "title" : "Mathematics Elsewhere An Exploration of Ideas Across Cultures", "type" : "book" }, "uris" : [ "http://www.mendeley.com/documents/?uuid=9b1bc434-3620-4cc9-be50-5772a05ddc71" ] }, { "id" : "ITEM-2", "itemData" : { "author" : [ { "dropping-particle" : "", "family" : "Tun", "given" : "Molly Anne", "non-dropping-particle" : "", "parse-names" : false, "suffix" : "" } ], "id" : "ITEM-2", "issue" : "June", "issued" : { "date-parts" : [ [ "2015" ] ] }, "publisher" : "University of Minnesota", "title" : "El quipu: escritura andina en las redes inform\u00e1ticas incaicas y coloniales", "type" : "thesis" }, "uris" : [ "http://www.mendeley.com/documents/?uuid=9147d423-e561-434e-bb48-0f5d811f29b7" ] } ], "mendeley" : { "formattedCitation" : "(ASCHER, 2002; TUN, 2015)", "plainTextFormattedCitation" : "(ASCHER, 2002; TUN, 2015)", "previouslyFormattedCitation" : "(ASCHER, 2002; TUN, 2015)"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(ASCHER, 2002; TUN, 2015)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são expressões linguísticas materializadas em uma superfície física.</w:t>
      </w:r>
    </w:p>
    <w:p w14:paraId="2B542500" w14:textId="43A0B64F"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As pesquisas etnomatemáticas olham para além do alfabeto. Para estas, os diferentes materiais descrevem narrativas matematicamente traduzíveis embebidas em sua construção e uso. </w:t>
      </w:r>
    </w:p>
    <w:p w14:paraId="561C4897" w14:textId="77777777" w:rsidR="00F67353" w:rsidRPr="00643422" w:rsidRDefault="00F67353" w:rsidP="00F67353">
      <w:pPr>
        <w:keepNext/>
        <w:spacing w:before="120" w:line="360" w:lineRule="auto"/>
        <w:jc w:val="both"/>
        <w:outlineLvl w:val="0"/>
        <w:rPr>
          <w:rFonts w:ascii="Times New Roman" w:eastAsia="Calibri" w:hAnsi="Times New Roman" w:cs="Times New Roman"/>
          <w:b/>
          <w:color w:val="000000" w:themeColor="text1"/>
          <w:sz w:val="22"/>
          <w:szCs w:val="22"/>
        </w:rPr>
      </w:pPr>
      <w:r w:rsidRPr="00643422">
        <w:rPr>
          <w:rFonts w:ascii="Times New Roman" w:eastAsia="Calibri" w:hAnsi="Times New Roman" w:cs="Times New Roman"/>
          <w:b/>
          <w:color w:val="000000" w:themeColor="text1"/>
          <w:sz w:val="22"/>
          <w:szCs w:val="22"/>
        </w:rPr>
        <w:t>Etnomatemática e Tecnologia</w:t>
      </w:r>
    </w:p>
    <w:p w14:paraId="1619AFA9"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 noção de tecnologia tem sua gênese na noção de artefato e portanto, pode-se dizer que toda tecnologia é, como foi igualmente postulado para a noção de matemática, um produto cultural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"Sigaut", "given" : "Fran\u00e7ois", "non-dropping-particle" : "", "parse-names" : false, "suffix" : "" } ], "container-title" : "Companion Encyclopedia of Anhtropology", "editor" : [ { "dropping-particle" : "", "family" : "Ingold", "given" : "Tim", "non-dropping-particle" : "", "parse-names" : false, "suffix" : "" } ], "id" : "ITEM-1", "issued" : { "date-parts" : [ [ "1994" ] ] }, "page" : "420-459", "publisher" : "Routledge", "publisher-place" : "New York", "title" : "Technology", "type" : "chapter" }, "uris" : [ "http://www.mendeley.com/documents/?uuid=6273ae09-b6a7-4282-848d-f63808a7b899" ] } ], "mendeley" : { "formattedCitation" : "(SIGAUT, 1994)", "plainTextFormattedCitation" : "(SIGAUT, 1994)", "previouslyFormattedCitation" : "(SIGAUT, 1994)"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(SIGAUT, 1994)</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Assim, as noções de “tecnologia e cultura”, “cultura tecnológica” ou “tecnologia cultural’ são intercambiáveis, ou indistinguíveis. Pode-se contudo, aplicar tais distinções para a díade ‘tecnologia e ciência”, tendo em vista que o conceito de ciência é uma aplicação tecnológica especifica.</w:t>
      </w:r>
    </w:p>
    <w:p w14:paraId="7274A1F6" w14:textId="7F5D890D"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Dizer que algo pode ser caracterizado como matematicamente valido não é o mesmo que dizer que algo tem função matemática. Passar a existir como matematicamente válido necessita notação sistemática, mas senão </w:t>
      </w:r>
      <w:r w:rsidRPr="00643422">
        <w:rPr>
          <w:rFonts w:ascii="Times New Roman" w:eastAsia="Calibri" w:hAnsi="Times New Roman" w:cs="Times New Roman"/>
          <w:i/>
          <w:color w:val="000000" w:themeColor="text1"/>
        </w:rPr>
        <w:t xml:space="preserve">ad-hoc, </w:t>
      </w:r>
      <w:r w:rsidRPr="00643422">
        <w:rPr>
          <w:rFonts w:ascii="Times New Roman" w:eastAsia="Calibri" w:hAnsi="Times New Roman" w:cs="Times New Roman"/>
          <w:color w:val="000000" w:themeColor="text1"/>
        </w:rPr>
        <w:t>do que se pretende medir, quantificar ou estruturar</w:t>
      </w:r>
      <w:r w:rsidRPr="00643422">
        <w:rPr>
          <w:rFonts w:ascii="Times New Roman" w:eastAsia="Calibri" w:hAnsi="Times New Roman" w:cs="Times New Roman"/>
          <w:i/>
          <w:color w:val="000000" w:themeColor="text1"/>
        </w:rPr>
        <w:t>.</w:t>
      </w:r>
      <w:r w:rsidRPr="00643422">
        <w:rPr>
          <w:rFonts w:ascii="Times New Roman" w:eastAsia="Calibri" w:hAnsi="Times New Roman" w:cs="Times New Roman"/>
          <w:color w:val="000000" w:themeColor="text1"/>
        </w:rPr>
        <w:t xml:space="preserve"> Há estudos que dão a essa prática a denominação de modelagem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"Barbosa", "given" : "Jonei Cerqueira", "non-dropping-particle" : "", "parse-names" : false, "suffix" : "" } ], "container-title" : "Reuni\u00e3o Anual da ANPED", "id" : "ITEM-1", "issue" : "1993", "issued" : { "date-parts" : [ [ "2001" ] ] }, "page" : "1-30", "publisher" : "Associa\u00e7\u00e3o Nacional de P\u00f3s-Gradua\u00e7\u00e3o e Pesquisa em Educa\u00e7\u00e3o", "publisher-place" : "Caxambu", "title" : "Modelagem na Educa\u00e7\u00e3o Matem\u00e1tica: contribui\u00e7\u00f5es para o debate te\u00f3rico", "type" : "paper-conference" }, "uris" : [ "http://www.mendeley.com/documents/?uuid=4477ef59-04fe-481b-aa07-affde2f8ded8" ] }, { "id" : "ITEM-2", "itemData" : { "author" : [ { "dropping-particle" : "", "family" : "Barbosa", "given" : "Jonei Cerqueira", "non-dropping-particle" : "", "parse-names" : false, "suffix" : "" }, { "dropping-particle" : "dos", "family" : "Santos", "given" : "Marluce Alves", "non-dropping-particle" : "", "parse-names" : false, "suffix" : "" }, { "dropping-particle" : "de", "family" : "Oliveira", "given" : "Marcelo Leon Caff\u00e9", "non-dropping-particle" : "", "parse-names" : false, "suffix" : "" }, { "dropping-particle" : "da", "family" : "Silva", "given" : "Jonson Ney Dias", "non-dropping-particle" : "", "parse-names" : false, "suffix" : "" } ], "container-title" : "IX Encontro Nacional de Educa\u00e7\u00e3o Matem\u00e1tica", "id" : "ITEM-2", "issued" : { "date-parts" : [ [ "2007" ] ] }, "page" : "1-9", "publisher" : "Sociedade Brasileira de Educa\u00e7\u00e3o Matem\u00e1tica", "publisher-place" : "Belo Horizonte", "title" : "Modelagem matem\u00e1tica na sala de aula e as discuss\u00f5es dos alunos", "type" : "paper-conference", "volume" : "1" }, "uris" : [ "http://www.mendeley.com/documents/?uuid=fa1bd531-9cb5-4019-9c74-da06c0268bfe" ] }, { "id" : "ITEM-3", "itemData" : { "author" : [ { "dropping-particle" : "", "family" : "Barbosa", "given" : "Jonei Cerqueira", "non-dropping-particle" : "", "parse-names" : false, "suffix" : "" } ], "container-title" : "Veritati", "id" : "ITEM-3", "issue" : "4", "issued" : { "date-parts" : [ [ "2004" ] ] }, "page" : "73-80", "title" : "Modelagem Matem\u00e1tica: O que \u00e9? Por que? Como?", "type" : "article-journal" }, "uris" : [ "http://www.mendeley.com/documents/?uuid=f681f3a6-c8ff-41ee-b928-c49370705138" ] } ], "mendeley" : { "formattedCitation" : "(BARBOSA, 2001, 2004; BARBOSA et al., 2007)", "plainTextFormattedCitation" : "(BARBOSA, 2001, 2004; BARBOSA et al., 2007)", "previouslyFormattedCitation" : "(BARBOSA, 2001, 2004; BARBOSA et al., 2007)"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(BARBOSA, 2001, 2004; BARBOSA et al., 2007)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mostrando que matematizar é, segundo códigos sociais particulares, conceitos matemáticos gerais. Há propostas que refletem</w:t>
      </w:r>
      <w:r w:rsidR="003A7B48" w:rsidRPr="00643422">
        <w:rPr>
          <w:rFonts w:ascii="Times New Roman" w:eastAsia="Calibri" w:hAnsi="Times New Roman" w:cs="Times New Roman"/>
          <w:color w:val="000000" w:themeColor="text1"/>
        </w:rPr>
        <w:t xml:space="preserve"> e</w:t>
      </w:r>
      <w:r w:rsidRPr="00643422">
        <w:rPr>
          <w:rFonts w:ascii="Times New Roman" w:eastAsia="Calibri" w:hAnsi="Times New Roman" w:cs="Times New Roman"/>
          <w:color w:val="000000" w:themeColor="text1"/>
        </w:rPr>
        <w:t xml:space="preserve"> propõe abarcar estes elementos num </w:t>
      </w:r>
      <w:r w:rsidRPr="00643422">
        <w:rPr>
          <w:rFonts w:ascii="Times New Roman" w:eastAsia="Calibri" w:hAnsi="Times New Roman" w:cs="Times New Roman"/>
          <w:i/>
          <w:color w:val="000000" w:themeColor="text1"/>
        </w:rPr>
        <w:t xml:space="preserve">Curriculum </w:t>
      </w:r>
      <w:r w:rsidRPr="00643422">
        <w:rPr>
          <w:rFonts w:ascii="Times New Roman" w:eastAsia="Calibri" w:hAnsi="Times New Roman" w:cs="Times New Roman"/>
          <w:i/>
          <w:noProof/>
          <w:color w:val="000000" w:themeColor="text1"/>
        </w:rPr>
        <w:t>Trivium</w:t>
      </w:r>
      <w:r w:rsidRPr="00643422">
        <w:rPr>
          <w:rFonts w:ascii="Times New Roman" w:eastAsia="Calibri" w:hAnsi="Times New Roman" w:cs="Times New Roman"/>
          <w:noProof/>
          <w:color w:val="000000" w:themeColor="text1"/>
        </w:rPr>
        <w:t xml:space="preserve">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"10.1207/s15327833mtl0102_3", "ISSN" : "1098-6065", "author" : [ { "dropping-particle" : "", "family" : "D'Ambrosio", "given" : "Ubiratan", "non-dropping-particle" : "", "parse-names" : false, "suffix" : "" } ], "container-title" : "Mathematical Thinking and Learning", "id" : "ITEM-1", "issue" : "2", "issued" : { "date-parts" : [ [ "1999", "6", "1" ] ] }, "note" : "doi: 10.1207/s15327833mtl0102_3", "page" : "131-153", "publisher" : "Routledge", "title" : "Literacy, Matheracy, and Technocracy: A Trivium for Today", "type" : "article-journal", "volume" : "1" }, "uris" : [ "http://www.mendeley.com/documents/?uuid=9c2c07d0-decb-4504-ae3b-12ef4f9773dc" ] } ], "mendeley" : { "formattedCitation" : "(D\u2019AMBROSIO, 1999)", "plainTextFormattedCitation" : "(D\u2019AMBROSIO, 1999)", "previouslyFormattedCitation" : "(D\u2019AMBROSIO, 1999)"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1999)</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como modo de implementar socialmente tal capacidade. </w:t>
      </w:r>
    </w:p>
    <w:p w14:paraId="7F7643B6" w14:textId="2D7A1578"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 notação, o modo como se registram as unidades, operadores articulados sintaticamente tanto em registros gráficos quanto em alfabetos, é uma das fontes de confusão sobre o uso termo matemática. </w:t>
      </w:r>
      <w:r w:rsidR="00A104F4" w:rsidRPr="00643422">
        <w:rPr>
          <w:rFonts w:ascii="Times New Roman" w:eastAsia="Calibri" w:hAnsi="Times New Roman" w:cs="Times New Roman"/>
          <w:color w:val="000000" w:themeColor="text1"/>
        </w:rPr>
        <w:t xml:space="preserve">De um ponto de vista etnomatemático, </w:t>
      </w:r>
      <w:r w:rsidR="000228A6" w:rsidRPr="00643422">
        <w:rPr>
          <w:rFonts w:ascii="Times New Roman" w:eastAsia="Calibri" w:hAnsi="Times New Roman" w:cs="Times New Roman"/>
          <w:color w:val="000000" w:themeColor="text1"/>
        </w:rPr>
        <w:t xml:space="preserve">o </w:t>
      </w:r>
      <w:r w:rsidR="00A104F4" w:rsidRPr="00643422">
        <w:rPr>
          <w:rFonts w:ascii="Times New Roman" w:eastAsia="Calibri" w:hAnsi="Times New Roman" w:cs="Times New Roman"/>
          <w:color w:val="000000" w:themeColor="text1"/>
        </w:rPr>
        <w:t>saber matemátic</w:t>
      </w:r>
      <w:r w:rsidR="000228A6" w:rsidRPr="00643422">
        <w:rPr>
          <w:rFonts w:ascii="Times New Roman" w:eastAsia="Calibri" w:hAnsi="Times New Roman" w:cs="Times New Roman"/>
          <w:color w:val="000000" w:themeColor="text1"/>
        </w:rPr>
        <w:t>o</w:t>
      </w:r>
      <w:r w:rsidR="00A104F4" w:rsidRPr="00643422">
        <w:rPr>
          <w:rFonts w:ascii="Times New Roman" w:eastAsia="Calibri" w:hAnsi="Times New Roman" w:cs="Times New Roman"/>
          <w:color w:val="000000" w:themeColor="text1"/>
        </w:rPr>
        <w:t xml:space="preserve"> é uma derivação da língua, </w:t>
      </w:r>
      <w:r w:rsidR="00A104F4" w:rsidRPr="00643422">
        <w:rPr>
          <w:rFonts w:ascii="Times New Roman" w:eastAsia="Calibri" w:hAnsi="Times New Roman" w:cs="Times New Roman"/>
          <w:color w:val="000000" w:themeColor="text1"/>
        </w:rPr>
        <w:fldChar w:fldCharType="begin" w:fldLock="1"/>
      </w:r>
      <w:r w:rsidR="00A104F4"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"79-92", "publisher" : "Kluwer Academic Publishers", "publisher-place" : "Dordrecht", "title" : "A Historiographical Proposal for Non-Western Mathematics", "type" : "chapter" }, "locator" : "83", "uris" : [ "http://www.mendeley.com/documents/?uuid=828d6893-3fc7-46d2-b45b-f601283bc843" ] } ], "mendeley" : { "formattedCitation" : "(D\u00b4AMBROSIO, 2000, p. 83)", "plainTextFormattedCitation" : "(D\u00b4AMBROSIO, 2000, p. 83)", "previouslyFormattedCitation" : "(D\u00b4AMBROSIO, 2000, p. 83)" }, "properties" : { "noteIndex" : 0 }, "schema" : "https://github.com/citation-style-language/schema/raw/master/csl-citation.json" }</w:instrText>
      </w:r>
      <w:r w:rsidR="00A104F4" w:rsidRPr="00643422">
        <w:rPr>
          <w:rFonts w:ascii="Times New Roman" w:eastAsia="Calibri" w:hAnsi="Times New Roman" w:cs="Times New Roman"/>
          <w:color w:val="000000" w:themeColor="text1"/>
        </w:rPr>
        <w:fldChar w:fldCharType="separate"/>
      </w:r>
      <w:r w:rsidR="00A104F4" w:rsidRPr="00643422">
        <w:rPr>
          <w:rFonts w:ascii="Times New Roman" w:eastAsia="Calibri" w:hAnsi="Times New Roman" w:cs="Times New Roman"/>
          <w:noProof/>
          <w:color w:val="000000" w:themeColor="text1"/>
        </w:rPr>
        <w:t>(D´AMBROSIO, 2000, p. 83)</w:t>
      </w:r>
      <w:r w:rsidR="00A104F4" w:rsidRPr="00643422">
        <w:rPr>
          <w:rFonts w:ascii="Times New Roman" w:eastAsia="Calibri" w:hAnsi="Times New Roman" w:cs="Times New Roman"/>
          <w:color w:val="000000" w:themeColor="text1"/>
        </w:rPr>
        <w:fldChar w:fldCharType="end"/>
      </w:r>
      <w:r w:rsidR="00A104F4" w:rsidRPr="00643422">
        <w:rPr>
          <w:rFonts w:ascii="Times New Roman" w:eastAsia="Calibri" w:hAnsi="Times New Roman" w:cs="Times New Roman"/>
          <w:color w:val="000000" w:themeColor="text1"/>
        </w:rPr>
        <w:t xml:space="preserve"> </w:t>
      </w:r>
      <w:r w:rsidRPr="00643422">
        <w:rPr>
          <w:rFonts w:ascii="Times New Roman" w:eastAsia="Calibri" w:hAnsi="Times New Roman" w:cs="Times New Roman"/>
          <w:color w:val="000000" w:themeColor="text1"/>
        </w:rPr>
        <w:t>mas que se apresenta como um conjunto sistemático de símbolos</w:t>
      </w:r>
      <w:r w:rsidR="00B5694D" w:rsidRPr="00643422">
        <w:rPr>
          <w:rFonts w:ascii="Times New Roman" w:eastAsia="Calibri" w:hAnsi="Times New Roman" w:cs="Times New Roman"/>
          <w:color w:val="000000" w:themeColor="text1"/>
        </w:rPr>
        <w:t>, muitas vezes não verbais,</w:t>
      </w:r>
      <w:r w:rsidRPr="00643422">
        <w:rPr>
          <w:rFonts w:ascii="Times New Roman" w:eastAsia="Calibri" w:hAnsi="Times New Roman" w:cs="Times New Roman"/>
          <w:color w:val="000000" w:themeColor="text1"/>
        </w:rPr>
        <w:t xml:space="preserve"> que têm por função operarem segundo um corpo socialmente compartilhado de regras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"9780521878180", "author" : [ { "dropping-particle" : "", "family" : "Chrisomalis", "given" : "Stephen", "non-dropping-particle" : "", "parse-names" : false, "suffix" : "" } ], "container-title" : "Numerical Notation", "id" : "ITEM-1", "issued" : { "date-parts" : [ [ "2010" ] ] }, "publisher" : "Cambridge University Press", "publisher-place" : "Cambridge", "title" : "Numerical Notation. A Comparative History", "type" : "chapter" }, "locator" : "3, 16, 21, 29, 226", "uris" : [ "http://www.mendeley.com/documents/?uuid=6c2cdf17-73ad-4731-986c-f2ac1c75b787" ] } ], "mendeley" : { "formattedCitation" : "(CHRISOMALIS, 2010, pp. 3, 16, 21, 29, 226)", "plainTextFormattedCitation" : "(CHRISOMALIS, 2010, pp. 3, 16, 21, 29, 226)", "previouslyFormattedCitation" : "(CHRISOMALIS, 2010, pp. 3, 16, 21, 29, 226)"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(CHRISOMALIS, 2010, pp. 3, 16, 21, 29, 226)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w:t>
      </w:r>
      <w:r w:rsidR="00B5694D" w:rsidRPr="00643422">
        <w:rPr>
          <w:rFonts w:ascii="Times New Roman" w:eastAsia="Calibri" w:hAnsi="Times New Roman" w:cs="Times New Roman"/>
          <w:color w:val="000000" w:themeColor="text1"/>
        </w:rPr>
        <w:t xml:space="preserve"> </w:t>
      </w:r>
      <w:r w:rsidR="00B5694D" w:rsidRPr="00643422">
        <w:rPr>
          <w:rFonts w:ascii="Times New Roman" w:eastAsia="Calibri" w:hAnsi="Times New Roman" w:cs="Times New Roman"/>
          <w:color w:val="000000" w:themeColor="text1"/>
        </w:rPr>
        <w:t>Assim, podem conter linguagem, a despeito de serem não verbais ou constituírem outras materialidades, como a música.</w:t>
      </w:r>
    </w:p>
    <w:p w14:paraId="7710AC4D"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Há que observar que em alguns dos estudos onde a distinção entre matemática e cultura é feita,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"Pais", "given" : "Alexandre", "non-dropping-particle" : "", "parse-names" : false, "suffix" : "" } ], "container-title" : "for the learning of mathematics", "id" : "ITEM-1", "issue" : "3", "issued" : { "date-parts" : [ [ "2013" ] ] }, "page" : "2-6", "publisher" : "FLM Publishing Association", "publisher-place" : "Fredericton", "title" : "Ethnomathematics and the limits of culture", "type" : "article-journal", "volume" : "33" }, "locator" : "4", "uris" : [ "http://www.mendeley.com/documents/?uuid=3bb20d4e-557a-4a8a-a1a9-8654286318ee" ] }, { "id" : "ITEM-2", "itemData" : { "author" : [ { "dropping-particle" : "", "family" : "Arismendi-pardi", "given" : "Eduardo Jes\u00fas", "non-dropping-particle" : "", "parse-names" : false, "suffix" : "" } ], "id" : "ITEM-2", "issued" : { "date-parts" : [ [ "2002" ] ] }, "publisher" : "Orange Coast College", "title" : "Ethnomathematics: The Study of People, Culture, and Mathematical Anthropology", "type" : "article-journal" }, "locator" : "9", "uris" : [ "http://www.mendeley.com/documents/?uuid=8bed2a5a-7560-406f-a9b4-9d2a03815f7c" ] } ], "mendeley" : { "formattedCitation" : "(ARISMENDI-PARDI, 2002, p. 9; PAIS, 2013, p. 4)", "plainTextFormattedCitation" : "(ARISMENDI-PARDI, 2002, p. 9; PAIS, 2013, p. 4)", "previouslyFormattedCitation" : "(ARISMENDI-PARDI, 2002, p. 9; PAIS, 2013, p. 4)"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(ARISMENDI-PARDI, 2002, p. 9; PAIS, 2013, p. 4)</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toma-se como fato que as culturas de muitos povos apresentam características tidas como matemáticas, sem contudo afirmar que tais propriedades recobrem outro fato, o de que toda matemática, seja qual for a propriedade estudada, situa-se em alguma cultura no tempo e espaço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"79-92", "publisher" : "Kluwer Academic Publishers", "publisher-place" : "Dordrecht", "title" : "A Historiographical Proposal for Non-Western Mathematics", "type" : "chapter" }, "locator" : "82", "uris" : [ "http://www.mendeley.com/documents/?uuid=828d6893-3fc7-46d2-b45b-f601283bc843" ] } ], "mendeley" : { "formattedCitation" : "(D\u00b4AMBROSIO, 2000, p. 82)", "plainTextFormattedCitation" : "(D\u00b4AMBROSIO, 2000, p. 82)", "previouslyFormattedCitation" : "(D\u00b4AMBROSIO, 2000, p. 82)"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2000, p. 82)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De modo esses usos do que se percebe como prática cultural variam, e isso pode ser observado nas consequências e implicações das argumentações resultantes dessas abordagens.</w:t>
      </w:r>
    </w:p>
    <w:p w14:paraId="55AF0AAB"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O uso de termos como cultura e tecnologia ora se recobrem (cultura tecnológica, tecnologia cultural, sociedade tecnológica etc.), ora se complementam (matemática e cultura, tecnologia e cultura, cultura e sociedade, etc.) e ainda, por vezes, contrapõem-se (sociedades tecnológicas e sociedades não tecnológicas, culturas científica e culturas não cientificas... etc.). Desse modo cada combinação altera a posição, mas também o valor do que se expressa. Dizer que a “cultura é tecnologia” é algo diferente de dizer “cultura e tecnologia” a ainda “cultura tecnológica”.</w:t>
      </w:r>
    </w:p>
    <w:p w14:paraId="37393656" w14:textId="7812A2ED"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Assim como a </w:t>
      </w:r>
      <w:r w:rsidR="005731D7" w:rsidRPr="00643422">
        <w:rPr>
          <w:rFonts w:ascii="Times New Roman" w:eastAsia="Calibri" w:hAnsi="Times New Roman" w:cs="Times New Roman"/>
          <w:color w:val="000000" w:themeColor="text1"/>
        </w:rPr>
        <w:t xml:space="preserve">Etnomatemática, a etnobiologia é o </w:t>
      </w:r>
      <w:r w:rsidRPr="00643422">
        <w:rPr>
          <w:rFonts w:ascii="Times New Roman" w:eastAsia="Calibri" w:hAnsi="Times New Roman" w:cs="Times New Roman"/>
          <w:color w:val="000000" w:themeColor="text1"/>
        </w:rPr>
        <w:t xml:space="preserve">que se convencionou chamar de </w:t>
      </w:r>
      <w:r w:rsidRPr="00643422">
        <w:rPr>
          <w:rFonts w:ascii="Times New Roman" w:eastAsia="Calibri" w:hAnsi="Times New Roman" w:cs="Times New Roman"/>
          <w:i/>
          <w:color w:val="000000" w:themeColor="text1"/>
        </w:rPr>
        <w:t>Folktaxionomy</w:t>
      </w:r>
      <w:r w:rsidRPr="00643422">
        <w:rPr>
          <w:rFonts w:ascii="Times New Roman" w:eastAsia="Calibri" w:hAnsi="Times New Roman" w:cs="Times New Roman"/>
          <w:color w:val="000000" w:themeColor="text1"/>
        </w:rPr>
        <w:t xml:space="preserve">, ou o conhecimento popular </w:t>
      </w:r>
      <w:r w:rsidR="00965555" w:rsidRPr="00643422">
        <w:rPr>
          <w:rFonts w:ascii="Times New Roman" w:eastAsia="Calibri" w:hAnsi="Times New Roman" w:cs="Times New Roman"/>
          <w:color w:val="000000" w:themeColor="text1"/>
        </w:rPr>
        <w:t xml:space="preserve">que, </w:t>
      </w:r>
      <w:r w:rsidRPr="00643422">
        <w:rPr>
          <w:rFonts w:ascii="Times New Roman" w:eastAsia="Calibri" w:hAnsi="Times New Roman" w:cs="Times New Roman"/>
          <w:color w:val="000000" w:themeColor="text1"/>
        </w:rPr>
        <w:t xml:space="preserve">num contexto brasileiro é alvo de críticas muito semelhantes feitas à Etnomatemática. Nesse campo há duas principais correntes, a utilitarista e a intelectualista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"Berlin", "given" : "Brent", "non-dropping-particle" : "", "parse-names" : false, "suffix" : "" } ], "container-title" : "Proceedings of the First International Congress of Ethnobiology", "editor" : [ { "dropping-particle" : "", "family" : "Posey", "given" : "Darrell A.", "non-dropping-particle" : "", "parse-names" : false, "suffix" : "" }, { "dropping-particle" : "", "family" : "Overal", "given" : "Wiliam Leslie", "non-dropping-particle" : "", "parse-names" : false, "suffix" : "" } ], "id" : "ITEM-1", "issued" : { "date-parts" : [ [ "1990" ] ] }, "page" : "19-33", "publisher" : "Museu Paraense Em\u00edlio Goeldi", "publisher-place" : "Bel\u00e9m", "title" : "The chicken and the egg-head revisited: further evidence for the intellectualist bases of ethnobiological classification", "type" : "paper-conference" }, "locator" : "57", "uris" : [ "http://www.mendeley.com/documents/?uuid=21664db7-2ff8-4dbb-8953-9e9c338c0fbb" ] } ], "mendeley" : { "formattedCitation" : "(BERLIN, 1990, p. 57)", "plainTextFormattedCitation" : "(BERLIN, 1990, p. 57)", "previouslyFormattedCitation" : "(BERLIN, 1990, p. 57)"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(BERLIN, 1990, p. 57)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Estas atribuem respectivamente às taxionomias</w:t>
      </w:r>
      <w:r w:rsidR="00D5614D" w:rsidRPr="00643422">
        <w:rPr>
          <w:rFonts w:ascii="Times New Roman" w:eastAsia="Calibri" w:hAnsi="Times New Roman" w:cs="Times New Roman"/>
          <w:color w:val="000000" w:themeColor="text1"/>
        </w:rPr>
        <w:t>,</w:t>
      </w:r>
      <w:r w:rsidRPr="00643422">
        <w:rPr>
          <w:rFonts w:ascii="Times New Roman" w:eastAsia="Calibri" w:hAnsi="Times New Roman" w:cs="Times New Roman"/>
          <w:color w:val="000000" w:themeColor="text1"/>
        </w:rPr>
        <w:t xml:space="preserve"> motivação especulativa ou pragmatismo material para finalidades específicas. </w:t>
      </w:r>
      <w:r w:rsidR="00DA178D" w:rsidRPr="00643422">
        <w:rPr>
          <w:rFonts w:ascii="Times New Roman" w:eastAsia="Calibri" w:hAnsi="Times New Roman" w:cs="Times New Roman"/>
          <w:color w:val="000000" w:themeColor="text1"/>
        </w:rPr>
        <w:t>A</w:t>
      </w:r>
      <w:r w:rsidRPr="00643422">
        <w:rPr>
          <w:rFonts w:ascii="Times New Roman" w:eastAsia="Calibri" w:hAnsi="Times New Roman" w:cs="Times New Roman"/>
          <w:color w:val="000000" w:themeColor="text1"/>
        </w:rPr>
        <w:t xml:space="preserve"> posição intelectualista, proveniente da tradição de Lévi-Strauss reconhece a estrutura e ordem inerentes a qualquer ambiente humano, transmitidas culturalmente. A segunda, de origem no pensamento de Malinowski, concentra as explicações nas adaptações </w:t>
      </w:r>
      <w:r w:rsidR="00D6101A" w:rsidRPr="00643422">
        <w:rPr>
          <w:rFonts w:ascii="Times New Roman" w:eastAsia="Calibri" w:hAnsi="Times New Roman" w:cs="Times New Roman"/>
          <w:color w:val="000000" w:themeColor="text1"/>
        </w:rPr>
        <w:t xml:space="preserve">locais </w:t>
      </w:r>
      <w:r w:rsidR="00023427" w:rsidRPr="00643422">
        <w:rPr>
          <w:rFonts w:ascii="Times New Roman" w:eastAsia="Calibri" w:hAnsi="Times New Roman" w:cs="Times New Roman"/>
          <w:color w:val="000000" w:themeColor="text1"/>
        </w:rPr>
        <w:t>ú</w:t>
      </w:r>
      <w:r w:rsidRPr="00643422">
        <w:rPr>
          <w:rFonts w:ascii="Times New Roman" w:eastAsia="Calibri" w:hAnsi="Times New Roman" w:cs="Times New Roman"/>
          <w:color w:val="000000" w:themeColor="text1"/>
        </w:rPr>
        <w:t>teis do ambiente estabelec</w:t>
      </w:r>
      <w:r w:rsidR="00420D36" w:rsidRPr="00643422">
        <w:rPr>
          <w:rFonts w:ascii="Times New Roman" w:eastAsia="Calibri" w:hAnsi="Times New Roman" w:cs="Times New Roman"/>
          <w:color w:val="000000" w:themeColor="text1"/>
        </w:rPr>
        <w:t>ido n</w:t>
      </w:r>
      <w:r w:rsidRPr="00643422">
        <w:rPr>
          <w:rFonts w:ascii="Times New Roman" w:eastAsia="Calibri" w:hAnsi="Times New Roman" w:cs="Times New Roman"/>
          <w:color w:val="000000" w:themeColor="text1"/>
        </w:rPr>
        <w:t>as sociedades humanas.</w:t>
      </w:r>
    </w:p>
    <w:p w14:paraId="248FD08D" w14:textId="77777777" w:rsidR="00B5694D"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Essa discussão sobre as motivações das sociedades para com tarefas metódicas, estruturantes, organizadoras, classificatórias e simbolizantes pode traçar um paralelo em relação a Etnomatemática. Há trabalhos que mostram que nem toda atividade matematicamente válida tem premissas utilitárias, tais como padrões geométricos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"Gerdes", "given" : "Paulus", "non-dropping-particle" : "", "parse-names" : false, "suffix" : "" } ], "id" : "ITEM-1", "issued" : { "date-parts" : [ [ "2012" ] ] }, "publisher" : "Research Centre for Mathematics, Culture and Education", "publisher-place" : "Maputo", "title" : "Drawings from Angola", "type" : "book" }, "uris" : [ "http://www.mendeley.com/documents/?uuid=c9848ce0-dcec-49ba-a063-a3b5ea607db2" ] }, { "id" : "ITEM-2", "itemData" : { "author" : [ { "dropping-particle" : "", "family" : "Gerdes", "given" : "Paulus", "non-dropping-particle" : "", "parse-names" : false, "suffix" : "" } ], "id" : "ITEM-2", "issued" : { "date-parts" : [ [ "2007" ] ] }, "publisher" : "Lulu Enterprises", "publisher-place" : "Morrisville", "title" : "Lunda Geometry", "type" : "book" }, "uris" : [ "http://www.mendeley.com/documents/?uuid=79125216-b985-4ce5-b978-7e684a585217" ] } ], "mendeley" : { "formattedCitation" : "(GERDES, 2007, 2012b)", "plainTextFormattedCitation" : "(GERDES, 2007, 2012b)", "previouslyFormattedCitation" : "(GERDES, 2007, 2012b)"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(GERDES, 2007, 2012b)</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 o mesmo vale para jogos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"9781556525018", "author" : [ { "dropping-particle" : "", "family" : "ZaslavsKy", "given" : "Claudia", "non-dropping-particle" : "", "parse-names" : false, "suffix" : "" } ], "id" : "ITEM-1", "issued" : { "date-parts" : [ [ "2003" ] ] }, "publisher" : "Chicago Review Press", "publisher-place" : "Illinois", "title" : "More math games and activities from around the world", "type" : "book" }, "uris" : [ "http://www.mendeley.com/documents/?uuid=188f4b26-e437-4f24-b0dc-46521a49b55a" ] }, { "id" : "ITEM-2", "itemData" : { "ISBN" : "0691120226", "author" : [ { "dropping-particle" : "", "family" : "Ascher", "given" : "Marcia", "non-dropping-particle" : "", "parse-names" : false, "suffix" : "" } ], "id" : "ITEM-2", "issued" : { "date-parts" : [ [ "2002" ] ] }, "publisher" : "Princeton University Press", "publisher-place" : "Princeton", "title" : "Mathematics Elsewhere An Exploration of Ideas Across Cultures", "type" : "book" }, "uris" : [ "http://www.mendeley.com/documents/?uuid=9b1bc434-3620-4cc9-be50-5772a05ddc71" ] } ], "mendeley" : { "formattedCitation" : "(ASCHER, 2002; ZASLAVSKY, 2003)", "plainTextFormattedCitation" : "(ASCHER, 2002; ZASLAVSKY, 2003)", "previouslyFormattedCitation" : "(ASCHER, 2002; ZASLAVSKY, 2003)"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(ASCHER, 2002; ZASLAVSKY, 2003)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e outras atividades não diretamente relacionadas com a sobrevivência imediata. O fato de não serem utilitárias não retira o que essas estruturas tem de narrativo. </w:t>
      </w:r>
    </w:p>
    <w:p w14:paraId="5CB0FF0A" w14:textId="77777777" w:rsidR="003314CA"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Tecnologia tem a propriedade de unir cultura e linguagem em utensílios</w:t>
      </w:r>
      <w:r w:rsidR="004B11D0" w:rsidRPr="00643422">
        <w:rPr>
          <w:rFonts w:ascii="Times New Roman" w:eastAsia="Calibri" w:hAnsi="Times New Roman" w:cs="Times New Roman"/>
          <w:color w:val="000000" w:themeColor="text1"/>
        </w:rPr>
        <w:t>.</w:t>
      </w:r>
      <w:r w:rsidR="00295D10" w:rsidRPr="00643422">
        <w:rPr>
          <w:rFonts w:ascii="Times New Roman" w:eastAsia="Calibri" w:hAnsi="Times New Roman" w:cs="Times New Roman"/>
          <w:color w:val="000000" w:themeColor="text1"/>
        </w:rPr>
        <w:t xml:space="preserve"> </w:t>
      </w:r>
      <w:r w:rsidR="00295D10" w:rsidRPr="00643422">
        <w:rPr>
          <w:rFonts w:ascii="Times New Roman" w:eastAsia="Calibri" w:hAnsi="Times New Roman" w:cs="Times New Roman"/>
          <w:color w:val="000000" w:themeColor="text1"/>
        </w:rPr>
        <w:t>O que se concebe então como matematicamente v</w:t>
      </w:r>
      <w:r w:rsidR="004B11D0" w:rsidRPr="00643422">
        <w:rPr>
          <w:rFonts w:ascii="Times New Roman" w:eastAsia="Calibri" w:hAnsi="Times New Roman" w:cs="Times New Roman"/>
          <w:color w:val="000000" w:themeColor="text1"/>
        </w:rPr>
        <w:t>á</w:t>
      </w:r>
      <w:r w:rsidR="00295D10" w:rsidRPr="00643422">
        <w:rPr>
          <w:rFonts w:ascii="Times New Roman" w:eastAsia="Calibri" w:hAnsi="Times New Roman" w:cs="Times New Roman"/>
          <w:color w:val="000000" w:themeColor="text1"/>
        </w:rPr>
        <w:t>lido depende não da tecnologia mas sim da linguagem.</w:t>
      </w:r>
      <w:r w:rsidRPr="00643422">
        <w:rPr>
          <w:rFonts w:ascii="Times New Roman" w:eastAsia="Calibri" w:hAnsi="Times New Roman" w:cs="Times New Roman"/>
          <w:color w:val="000000" w:themeColor="text1"/>
        </w:rPr>
        <w:t xml:space="preserve"> </w:t>
      </w:r>
      <w:r w:rsidR="004B11D0" w:rsidRPr="00643422">
        <w:rPr>
          <w:rFonts w:ascii="Times New Roman" w:eastAsia="Calibri" w:hAnsi="Times New Roman" w:cs="Times New Roman"/>
          <w:color w:val="000000" w:themeColor="text1"/>
        </w:rPr>
        <w:t>F</w:t>
      </w:r>
      <w:r w:rsidRPr="00643422">
        <w:rPr>
          <w:rFonts w:ascii="Times New Roman" w:eastAsia="Calibri" w:hAnsi="Times New Roman" w:cs="Times New Roman"/>
          <w:color w:val="000000" w:themeColor="text1"/>
        </w:rPr>
        <w:t xml:space="preserve">erramentas e instrumentos </w:t>
      </w:r>
      <w:r w:rsidR="008A5574" w:rsidRPr="00643422">
        <w:rPr>
          <w:rFonts w:ascii="Times New Roman" w:eastAsia="Calibri" w:hAnsi="Times New Roman" w:cs="Times New Roman"/>
          <w:color w:val="000000" w:themeColor="text1"/>
        </w:rPr>
        <w:t>n</w:t>
      </w:r>
      <w:r w:rsidRPr="00643422">
        <w:rPr>
          <w:rFonts w:ascii="Times New Roman" w:eastAsia="Calibri" w:hAnsi="Times New Roman" w:cs="Times New Roman"/>
          <w:color w:val="000000" w:themeColor="text1"/>
        </w:rPr>
        <w:t xml:space="preserve">os quais </w:t>
      </w:r>
      <w:r w:rsidR="00295D10" w:rsidRPr="00643422">
        <w:rPr>
          <w:rFonts w:ascii="Times New Roman" w:eastAsia="Calibri" w:hAnsi="Times New Roman" w:cs="Times New Roman"/>
          <w:color w:val="000000" w:themeColor="text1"/>
        </w:rPr>
        <w:t xml:space="preserve">o uso técnico da língua </w:t>
      </w:r>
      <w:r w:rsidR="00295D10" w:rsidRPr="00643422">
        <w:rPr>
          <w:rFonts w:ascii="Times New Roman" w:eastAsia="Calibri" w:hAnsi="Times New Roman" w:cs="Times New Roman"/>
          <w:color w:val="000000" w:themeColor="text1"/>
        </w:rPr>
        <w:fldChar w:fldCharType="begin" w:fldLock="1"/>
      </w:r>
      <w:r w:rsidR="00295D10" w:rsidRPr="00643422">
        <w:rPr>
          <w:rFonts w:ascii="Times New Roman" w:eastAsia="Calibri" w:hAnsi="Times New Roman" w:cs="Times New Roman"/>
          <w:color w:val="000000" w:themeColor="text1"/>
        </w:rPr>
        <w:instrText>ADDIN CSL_CITATION { "citationItems" : [ { "id" : "ITEM-1", "itemData" : { "author" : [ { "dropping-particle" : "", "family" : "Benveniste", "given" : "Emile", "non-dropping-particle" : "", "parse-names" : false, "suffix" : "" } ], "container-title" : "Acta Linguistica", "id" : "ITEM-1", "issue" : "November 2012", "issued" : { "date-parts" : [ [ "1939" ] ] }, "page" : "37-41", "publisher-place" : "Paris", "title" : "Nature du signe linguistique", "type" : "article-journal" }, "uris" : [ "http://www.mendeley.com/documents/?uuid=10e37273-c1f7-4c1b-a672-6eefa73a0f44" ] } ], "mendeley" : { "formattedCitation" : "(BENVENISTE, 1939)", "plainTextFormattedCitation" : "(BENVENISTE, 1939)", "previouslyFormattedCitation" : "(BENVENISTE, 1939)" }, "properties" : { "noteIndex" : 0 }, "schema" : "https://github.com/citation-style-language/schema/raw/master/csl-citation.json" }</w:instrText>
      </w:r>
      <w:r w:rsidR="00295D10" w:rsidRPr="00643422">
        <w:rPr>
          <w:rFonts w:ascii="Times New Roman" w:eastAsia="Calibri" w:hAnsi="Times New Roman" w:cs="Times New Roman"/>
          <w:color w:val="000000" w:themeColor="text1"/>
        </w:rPr>
        <w:fldChar w:fldCharType="separate"/>
      </w:r>
      <w:r w:rsidR="00295D10" w:rsidRPr="00643422">
        <w:rPr>
          <w:rFonts w:ascii="Times New Roman" w:eastAsia="Calibri" w:hAnsi="Times New Roman" w:cs="Times New Roman"/>
          <w:noProof/>
          <w:color w:val="000000" w:themeColor="text1"/>
        </w:rPr>
        <w:t>(BENVENISTE, 1939)</w:t>
      </w:r>
      <w:r w:rsidR="00295D10" w:rsidRPr="00643422">
        <w:rPr>
          <w:rFonts w:ascii="Times New Roman" w:eastAsia="Calibri" w:hAnsi="Times New Roman" w:cs="Times New Roman"/>
          <w:color w:val="000000" w:themeColor="text1"/>
        </w:rPr>
        <w:fldChar w:fldCharType="end"/>
      </w:r>
      <w:r w:rsidR="00295D10" w:rsidRPr="00643422">
        <w:rPr>
          <w:rFonts w:ascii="Times New Roman" w:eastAsia="Calibri" w:hAnsi="Times New Roman" w:cs="Times New Roman"/>
          <w:color w:val="000000" w:themeColor="text1"/>
        </w:rPr>
        <w:t xml:space="preserve">, o signo, classifica </w:t>
      </w:r>
      <w:r w:rsidR="003314CA" w:rsidRPr="00643422">
        <w:rPr>
          <w:rFonts w:ascii="Times New Roman" w:eastAsia="Calibri" w:hAnsi="Times New Roman" w:cs="Times New Roman"/>
          <w:color w:val="000000" w:themeColor="text1"/>
        </w:rPr>
        <w:t xml:space="preserve">ora </w:t>
      </w:r>
      <w:r w:rsidR="00295D10" w:rsidRPr="00643422">
        <w:rPr>
          <w:rFonts w:ascii="Times New Roman" w:eastAsia="Calibri" w:hAnsi="Times New Roman" w:cs="Times New Roman"/>
          <w:color w:val="000000" w:themeColor="text1"/>
        </w:rPr>
        <w:t>como não motivado e arbitrário, ou puramente simbólico, o</w:t>
      </w:r>
      <w:r w:rsidR="003314CA" w:rsidRPr="00643422">
        <w:rPr>
          <w:rFonts w:ascii="Times New Roman" w:eastAsia="Calibri" w:hAnsi="Times New Roman" w:cs="Times New Roman"/>
          <w:color w:val="000000" w:themeColor="text1"/>
        </w:rPr>
        <w:t>ra como</w:t>
      </w:r>
      <w:r w:rsidR="00295D10" w:rsidRPr="00643422">
        <w:rPr>
          <w:rFonts w:ascii="Times New Roman" w:eastAsia="Calibri" w:hAnsi="Times New Roman" w:cs="Times New Roman"/>
          <w:color w:val="000000" w:themeColor="text1"/>
        </w:rPr>
        <w:t xml:space="preserve"> índice, motivado e icônico.</w:t>
      </w:r>
      <w:r w:rsidR="006C4C94" w:rsidRPr="00643422">
        <w:rPr>
          <w:rFonts w:ascii="Times New Roman" w:eastAsia="Calibri" w:hAnsi="Times New Roman" w:cs="Times New Roman"/>
          <w:color w:val="000000" w:themeColor="text1"/>
        </w:rPr>
        <w:t xml:space="preserve"> </w:t>
      </w:r>
    </w:p>
    <w:p w14:paraId="26ABB88A" w14:textId="4BF2ACDD" w:rsidR="00F67353" w:rsidRPr="00643422" w:rsidRDefault="006C2D2A"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Os modos de dimensionar a realidade por meio do uso de objetos, de mediá-la como superfícies, volumes e extensões da matéria têm sido estudados pela antropologia e arqueologia como externalização da memória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"Donald", "given" : "Merlin", "non-dropping-particle" : "", "parse-names" : false, "suffix" : "" } ], "chapter-number" : "15", "container-title" : "Cognition and Material Culture: the Archaeology of Symbolic Storage", "id" : "ITEM-1", "issued" : { "date-parts" : [ [ "1998" ] ] }, "publisher" : "McDonald Institute for Archaeological Research", "publisher-place" : "Cambridge", "title" : "Material Culture and Cognition: Concluding Thoughts", "type" : "chapter" }, "uris" : [ "http://www.mendeley.com/documents/?uuid=2f875b09-7ab5-46f0-81af-00d3e29e79e1" ] } ], "mendeley" : { "formattedCitation" : "(DONALD, 1998)", "plainTextFormattedCitation" : "(DONALD, 1998)", "previouslyFormattedCitation" : "(DONALD, 1998)"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(DONALD, 1998)</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da qual a matemática, como prática humana faz parte.</w:t>
      </w:r>
      <w:r w:rsidRPr="00643422">
        <w:rPr>
          <w:rFonts w:ascii="Times New Roman" w:eastAsia="Calibri" w:hAnsi="Times New Roman" w:cs="Times New Roman"/>
          <w:color w:val="000000" w:themeColor="text1"/>
        </w:rPr>
        <w:t xml:space="preserve"> </w:t>
      </w:r>
      <w:r w:rsidR="006C4C94" w:rsidRPr="00643422">
        <w:rPr>
          <w:rFonts w:ascii="Times New Roman" w:eastAsia="Calibri" w:hAnsi="Times New Roman" w:cs="Times New Roman"/>
          <w:color w:val="000000" w:themeColor="text1"/>
        </w:rPr>
        <w:t xml:space="preserve">Os esforços das pesquisas etnomatemáticas implicariam </w:t>
      </w:r>
      <w:r w:rsidR="00531BA9" w:rsidRPr="00643422">
        <w:rPr>
          <w:rFonts w:ascii="Times New Roman" w:eastAsia="Calibri" w:hAnsi="Times New Roman" w:cs="Times New Roman"/>
          <w:color w:val="000000" w:themeColor="text1"/>
        </w:rPr>
        <w:t xml:space="preserve">em </w:t>
      </w:r>
      <w:r w:rsidR="006C4C94" w:rsidRPr="00643422">
        <w:rPr>
          <w:rFonts w:ascii="Times New Roman" w:eastAsia="Calibri" w:hAnsi="Times New Roman" w:cs="Times New Roman"/>
          <w:color w:val="000000" w:themeColor="text1"/>
        </w:rPr>
        <w:t xml:space="preserve">reformular as premissas platonista e aristotélica por meio da descrição das técnicas e com isso, constituir uma tecnologia das materialidades não verbais </w:t>
      </w:r>
      <w:r w:rsidR="006C4C94" w:rsidRPr="00643422">
        <w:rPr>
          <w:rFonts w:ascii="Times New Roman" w:eastAsia="Calibri" w:hAnsi="Times New Roman" w:cs="Times New Roman"/>
          <w:color w:val="000000" w:themeColor="text1"/>
        </w:rPr>
        <w:fldChar w:fldCharType="begin" w:fldLock="1"/>
      </w:r>
      <w:r w:rsidR="006C4C94" w:rsidRPr="00643422">
        <w:rPr>
          <w:rFonts w:ascii="Times New Roman" w:eastAsia="Calibri" w:hAnsi="Times New Roman" w:cs="Times New Roman"/>
          <w:color w:val="000000" w:themeColor="text1"/>
        </w:rPr>
        <w:instrText>ADDIN CSL_CITATION { "citationItems" : [ { "id" : "ITEM-1", "itemData" : { "author" : [ { "dropping-particle" : "", "family" : "Joseph", "given" : "George Gheverghese", "non-dropping-particle" : "", "parse-names" : false, "suffix" : "" } ], "id" : "ITEM-1", "issued" : { "date-parts" : [ [ "2011" ] ] }, "publisher" : "Princeton University Press", "publisher-place" : "Princeton", "title" : "The Crest of the Peacock - Non European Roots of Mathematics", "type" : "book" }, "locator" : "63,342", "uris" : [ "http://www.mendeley.com/documents/?uuid=8524972b-34b1-4193-8b32-aa31c985dd6a" ] } ], "mendeley" : { "formattedCitation" : "(JOSEPH, 2011, p. 63,342)", "plainTextFormattedCitation" : "(JOSEPH, 2011, p. 63,342)", "previouslyFormattedCitation" : "(JOSEPH, 2011, p. 63,342)" }, "properties" : { "noteIndex" : 0 }, "schema" : "https://github.com/citation-style-language/schema/raw/master/csl-citation.json" }</w:instrText>
      </w:r>
      <w:r w:rsidR="006C4C94" w:rsidRPr="00643422">
        <w:rPr>
          <w:rFonts w:ascii="Times New Roman" w:eastAsia="Calibri" w:hAnsi="Times New Roman" w:cs="Times New Roman"/>
          <w:color w:val="000000" w:themeColor="text1"/>
        </w:rPr>
        <w:fldChar w:fldCharType="separate"/>
      </w:r>
      <w:r w:rsidR="006C4C94" w:rsidRPr="00643422">
        <w:rPr>
          <w:rFonts w:ascii="Times New Roman" w:eastAsia="Calibri" w:hAnsi="Times New Roman" w:cs="Times New Roman"/>
          <w:noProof/>
          <w:color w:val="000000" w:themeColor="text1"/>
        </w:rPr>
        <w:t>(JOSEPH, 2011, p. 63,342)</w:t>
      </w:r>
      <w:r w:rsidR="006C4C94" w:rsidRPr="00643422">
        <w:rPr>
          <w:rFonts w:ascii="Times New Roman" w:eastAsia="Calibri" w:hAnsi="Times New Roman" w:cs="Times New Roman"/>
          <w:color w:val="000000" w:themeColor="text1"/>
        </w:rPr>
        <w:fldChar w:fldCharType="end"/>
      </w:r>
      <w:r w:rsidR="006C4C94" w:rsidRPr="00643422">
        <w:rPr>
          <w:rFonts w:ascii="Times New Roman" w:eastAsia="Calibri" w:hAnsi="Times New Roman" w:cs="Times New Roman"/>
          <w:color w:val="000000" w:themeColor="text1"/>
        </w:rPr>
        <w:t xml:space="preserve"> </w:t>
      </w:r>
      <w:r w:rsidR="006C4C94" w:rsidRPr="00643422">
        <w:rPr>
          <w:rFonts w:ascii="Times New Roman" w:eastAsia="Calibri" w:hAnsi="Times New Roman" w:cs="Times New Roman"/>
          <w:color w:val="000000" w:themeColor="text1"/>
        </w:rPr>
        <w:t xml:space="preserve">Uma maneira encontrada para analisar o uso de materialidades não verbais é pensar os objetos como mediadores do pensamento </w:t>
      </w:r>
      <w:r w:rsidR="006C4C94" w:rsidRPr="00643422">
        <w:rPr>
          <w:rFonts w:ascii="Times New Roman" w:eastAsia="Calibri" w:hAnsi="Times New Roman" w:cs="Times New Roman"/>
          <w:color w:val="000000" w:themeColor="text1"/>
        </w:rPr>
        <w:fldChar w:fldCharType="begin" w:fldLock="1"/>
      </w:r>
      <w:r w:rsidR="006C4C94" w:rsidRPr="00643422">
        <w:rPr>
          <w:rFonts w:ascii="Times New Roman" w:eastAsia="Calibri" w:hAnsi="Times New Roman" w:cs="Times New Roman"/>
          <w:color w:val="000000" w:themeColor="text1"/>
        </w:rPr>
        <w:instrText>ADDIN CSL_CITATION { "citationItems" : [ { "id" : "ITEM-1", "itemData" : { "DOI" : "10.1016/j.jmathb.2017.08.004", "ISSN" : "0732-3123", "author" : [ { "dropping-particle" : "", "family" : "Powell", "given" : "Arthur B.", "non-dropping-particle" : "", "parse-names" : false, "suffix" : "" } ], "container-title" : "Journal of Mathematical Behavior", "id" : "ITEM-1", "issue" : "January 2018", "issued" : { "date-parts" : [ [ "2017" ] ] }, "page" : "77-94", "publisher" : "Elsevier", "title" : "Mediational activities in a dynamic geometry environment and teachers \u2019 specialized content knowledge", "type" : "article-journal", "volume" : "48" }, "locator" : "3-4,18-19", "uris" : [ "http://www.mendeley.com/documents/?uuid=4231ca0d-c050-431e-b9e7-46bba2348c8d" ] }, { "id" : "ITEM-2", "itemData" : { "author" : [ { "dropping-particle" : "", "family" : "Ginsburg", "given" : "Herbert P.", "non-dropping-particle" : "", "parse-names" : false, "suffix" : "" } ], "chapter-number" : "6", "container-title" : "Ethnomathematics Challenging Eurocentrism in Mathematics Education", "id" : "ITEM-2", "issued" : { "date-parts" : [ [ "1997" ] ] }, "page" : "129-154", "publisher" : "State University of New York Press", "publisher-place" : "New York", "title" : "The Myth of the Deprived Child: New Thoughts on Poor Children", "type" : "chapter" }, "locator" : "142", "uris" : [ "http://www.mendeley.com/documents/?uuid=caf2c7bf-8078-4e66-b09d-437abcb23ba9" ] }, { "id" : "ITEM-3", "itemData" : { "author" : [ { "dropping-particle" : "", "family" : "Powell", "given" : "Arthur B.", "non-dropping-particle" : "", "parse-names" : false, "suffix" : "" } ], "container-title" : "Discourse", "id" : "ITEM-3", "issued" : { "date-parts" : [ [ "1998" ] ] }, "publisher-place" : "Belo Horizonte", "title" : "Socially emergent cognition: interactions mathematical problem solving", "type" : "article-journal" }, "locator" : "34", "uris" : [ "http://www.mendeley.com/documents/?uuid=71062071-c75a-4d0a-ad8e-45a936b2ec21" ] }, { "id" : "ITEM-4", "itemData" : { "author" : [ { "dropping-particle" : "", "family" : "Tedre", "given" : "Matti", "non-dropping-particle" : "", "parse-names" : false, "suffix" : "" }, { "dropping-particle" : "", "family" : "Kommers", "given" : "Piet", "non-dropping-particle" : "", "parse-names" : false, "suffix" : "" }, { "dropping-particle" : "", "family" : "Sutinen", "given" : "Erkki", "non-dropping-particle" : "", "parse-names" : false, "suffix" : "" } ], "container-title" : "IEEE conference ICALT 2002, Russia, September", "id" : "ITEM-4", "issued" : { "date-parts" : [ [ "2002" ] ] }, "page" : "1-5", "title" : "Ethnocomputing. A Multicultural View on Computer Science", "type" : "article-journal", "volume" : "9" }, "locator" : "15", "uris" : [ "http://www.mendeley.com/documents/?uuid=84e9a550-73b3-41eb-9ed0-0d9c3274f384" ] }, { "id" : "ITEM-5", "itemData" : { "author" : [ { "dropping-particle" : "", "family" : "Jablonka", "given" : "Eva", "non-dropping-particle" : "", "parse-names" : false, "suffix" : "" }, { "dropping-particle" : "", "family" : "Wagner", "given" : "David", "non-dropping-particle" : "", "parse-names" : false, "suffix" : "" }, { "dropping-particle" : "", "family" : "Walshaw", "given" : "Margaret", "non-dropping-particle" : "", "parse-names" : false, "suffix" : "" } ], "container-title" : "Third International Handbook of Mathematics Education", "editor" : [ { "dropping-particle" : "", "family" : "Clements", "given" : "M. A. (Ken)", "non-dropping-particle" : "", "parse-names" : false, "suffix" : "" }, { "dropping-particle" : "", "family" : "Bishop", "given" : "Alan J.", "non-dropping-particle" : "", "parse-names" : false, "suffix" : "" }, { "dropping-particle" : "", "family" : "Keitel", "given" : "Christine", "non-dropping-particle" : "", "parse-names" : false, "suffix" : "" }, { "dropping-particle" : "", "family" : "Kilpatrick", "given" : "Jeremy", "non-dropping-particle" : "", "parse-names" : false, "suffix" : "" }, { "dropping-particle" : "", "family" : "Leung", "given" : "Frederick K. S.", "non-dropping-particle" : "", "parse-names" : false, "suffix" : "" } ], "id" : "ITEM-5", "issued" : { "date-parts" : [ [ "2013" ] ] }, "page" : "41-68", "publisher" : "Springer", "publisher-place" : "Amsterdam", "title" : "Theories for Studying Social, Political and Cultural Dimensions of Mathematics Education", "type" : "chapter" }, "locator" : "44", "uris" : [ "http://www.mendeley.com/documents/?uuid=b7826ecd-12ea-4aee-972d-2f32e36efd50" ] }, { "id" : "ITEM-6", "itemData" : { "author" : [ { "dropping-particle" : "", "family" : "Radford", "given" : "Luis", "non-dropping-particle" : "", "parse-names" : false, "suffix" : "" } ], "chapter-number" : "4", "container-title" : "The Proceedings of the 12th International Congress on Mathematical Education", "editor" : [ { "dropping-particle" : "", "family" : "Cho", "given" : "Sung Je", "non-dropping-particle" : "", "parse-names" : false, "suffix" : "" } ], "id" : "ITEM-6", "issued" : { "date-parts" : [ [ "2015" ] ] }, "page" : "209-228", "publisher" : "Springer Open", "publisher-place" : "Dordrecht", "title" : "Early Algebraic Thinking: Epistemological, Semiotic, and Developmental Issues", "type" : "chapter" }, "locator" : "219", "uris" : [ "http://www.mendeley.com/documents/?uuid=1a917964-0241-4aff-8ddd-cab70c7f8225" ] } ], "mendeley" : { "formattedCitation" : "(GINSBURG, 1997, p. 142; POWELL, 1998, p. 34, 2017, pp. 3\u20134,18\u201319; TEDRE et al., 2002, p. 15; JABLONKA et al., 2013, p. 44; RADFORD, 2015, p. 219)", "plainTextFormattedCitation" : "(GINSBURG, 1997, p. 142; POWELL, 1998, p. 34, 2017, pp. 3\u20134,18\u201319; TEDRE et al., 2002, p. 15; JABLONKA et al., 2013, p. 44; RADFORD, 2015, p. 219)", "previouslyFormattedCitation" : "(GINSBURG, 1997, p. 142; POWELL, 1998, p. 34, 2017, pp. 3\u20134,18\u201319; TEDRE et al., 2002, p. 15; JABLONKA et al., 2013, p. 44; RADFORD, 2015, p. 219)" }, "properties" : { "noteIndex" : 0 }, "schema" : "https://github.com/citation-style-language/schema/raw/master/csl-citation.json" }</w:instrText>
      </w:r>
      <w:r w:rsidR="006C4C94" w:rsidRPr="00643422">
        <w:rPr>
          <w:rFonts w:ascii="Times New Roman" w:eastAsia="Calibri" w:hAnsi="Times New Roman" w:cs="Times New Roman"/>
          <w:color w:val="000000" w:themeColor="text1"/>
        </w:rPr>
        <w:fldChar w:fldCharType="separate"/>
      </w:r>
      <w:r w:rsidR="006C4C94" w:rsidRPr="00643422">
        <w:rPr>
          <w:rFonts w:ascii="Times New Roman" w:eastAsia="Calibri" w:hAnsi="Times New Roman" w:cs="Times New Roman"/>
          <w:noProof/>
          <w:color w:val="000000" w:themeColor="text1"/>
        </w:rPr>
        <w:t>(GINSBURG, 1997, p. 142; POWELL, 1998, p. 34, 2017, pp. 3–4,18–19; TEDRE et al., 2002, p. 15; JABLONKA et al., 2013, p. 44; RADFORD, 2015, p. 219)</w:t>
      </w:r>
      <w:r w:rsidR="006C4C94" w:rsidRPr="00643422">
        <w:rPr>
          <w:rFonts w:ascii="Times New Roman" w:eastAsia="Calibri" w:hAnsi="Times New Roman" w:cs="Times New Roman"/>
          <w:color w:val="000000" w:themeColor="text1"/>
        </w:rPr>
        <w:fldChar w:fldCharType="end"/>
      </w:r>
      <w:r w:rsidR="006C4C94" w:rsidRPr="00643422">
        <w:rPr>
          <w:rFonts w:ascii="Times New Roman" w:eastAsia="Calibri" w:hAnsi="Times New Roman" w:cs="Times New Roman"/>
          <w:color w:val="000000" w:themeColor="text1"/>
        </w:rPr>
        <w:t xml:space="preserve"> seguindo a tradição teórica inaugurada por Vygotsky</w:t>
      </w:r>
      <w:r w:rsidR="004E5DEE" w:rsidRPr="00643422">
        <w:rPr>
          <w:rFonts w:ascii="Times New Roman" w:eastAsia="Calibri" w:hAnsi="Times New Roman" w:cs="Times New Roman"/>
          <w:color w:val="000000" w:themeColor="text1"/>
        </w:rPr>
        <w:t xml:space="preserve"> </w:t>
      </w:r>
      <w:r w:rsidR="002C0C0E" w:rsidRPr="00643422">
        <w:rPr>
          <w:rFonts w:ascii="Times New Roman" w:eastAsia="Calibri" w:hAnsi="Times New Roman" w:cs="Times New Roman"/>
          <w:color w:val="000000" w:themeColor="text1"/>
        </w:rPr>
        <w:fldChar w:fldCharType="begin" w:fldLock="1"/>
      </w:r>
      <w:r w:rsidR="002C0C0E" w:rsidRPr="00643422">
        <w:rPr>
          <w:rFonts w:ascii="Times New Roman" w:eastAsia="Calibri" w:hAnsi="Times New Roman" w:cs="Times New Roman"/>
          <w:color w:val="000000" w:themeColor="text1"/>
        </w:rPr>
        <w:instrText>ADDIN CSL_CITATION { "citationItems" : [ { "id" : "ITEM-1", "itemData" : { "author" : [ { "dropping-particle" : "", "family" : "Nuernberg", "given" : "Adriano Henrique", "non-dropping-particle" : "", "parse-names" : false, "suffix" : "" } ], "id" : "ITEM-1", "issue" : "2", "issued" : { "date-parts" : [ [ "2003" ] ] }, "page" : "81-89", "title" : "A rela\u00e7\u00e3o natureza e cultura : O debate antropol\u00f3gico e as contribui\u00e7\u00f5es de Vygotski", "type" : "article-journal", "volume" : "7" }, "uris" : [ "http://www.mendeley.com/documents/?uuid=0696f045-4b3a-456c-9371-71e8cb634101" ] } ], "mendeley" : { "formattedCitation" : "(NUERNBERG, 2003)", "plainTextFormattedCitation" : "(NUERNBERG, 2003)", "previouslyFormattedCitation" : "(NUERNBERG, 2003)" }, "properties" : { "noteIndex" : 0 }, "schema" : "https://github.com/citation-style-language/schema/raw/master/csl-citation.json" }</w:instrText>
      </w:r>
      <w:r w:rsidR="002C0C0E" w:rsidRPr="00643422">
        <w:rPr>
          <w:rFonts w:ascii="Times New Roman" w:eastAsia="Calibri" w:hAnsi="Times New Roman" w:cs="Times New Roman"/>
          <w:color w:val="000000" w:themeColor="text1"/>
        </w:rPr>
        <w:fldChar w:fldCharType="separate"/>
      </w:r>
      <w:r w:rsidR="002C0C0E" w:rsidRPr="00643422">
        <w:rPr>
          <w:rFonts w:ascii="Times New Roman" w:eastAsia="Calibri" w:hAnsi="Times New Roman" w:cs="Times New Roman"/>
          <w:noProof/>
          <w:color w:val="000000" w:themeColor="text1"/>
        </w:rPr>
        <w:t>(NUERNBERG, 2003)</w:t>
      </w:r>
      <w:r w:rsidR="002C0C0E" w:rsidRPr="00643422">
        <w:rPr>
          <w:rFonts w:ascii="Times New Roman" w:eastAsia="Calibri" w:hAnsi="Times New Roman" w:cs="Times New Roman"/>
          <w:color w:val="000000" w:themeColor="text1"/>
        </w:rPr>
        <w:fldChar w:fldCharType="end"/>
      </w:r>
      <w:r w:rsidR="006C4C94" w:rsidRPr="00643422">
        <w:rPr>
          <w:rFonts w:ascii="Times New Roman" w:eastAsia="Calibri" w:hAnsi="Times New Roman" w:cs="Times New Roman"/>
          <w:color w:val="000000" w:themeColor="text1"/>
        </w:rPr>
        <w:t>.</w:t>
      </w:r>
      <w:r w:rsidR="00633C24" w:rsidRPr="00643422">
        <w:rPr>
          <w:rFonts w:ascii="Times New Roman" w:eastAsia="Calibri" w:hAnsi="Times New Roman" w:cs="Times New Roman"/>
          <w:color w:val="000000" w:themeColor="text1"/>
        </w:rPr>
        <w:t xml:space="preserve"> </w:t>
      </w:r>
    </w:p>
    <w:p w14:paraId="24D33EC8"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Nem toda tecnologia é científica, mas toda ciência é tecnológica. Povos descritos “com” ou “sem” tecnologia, teriam a nomenclatura alternativa pouco ou muito industrializados, tendo em vista que o conceito de tecnologia implica a vida em sociedade. Há concepções etnomatemáticas sobre o conhecimento das técnicas, as tecnologias, pautadas em abordagens mais próximas as definições antropológicas. Contudo, o uso de termos como sociedades com “alta tecnologia”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"Pais", "given" : "Alexandre", "non-dropping-particle" : "", "parse-names" : false, "suffix" : "" } ], "container-title" : "for the learning of mathematics", "id" : "ITEM-1", "issue" : "3", "issued" : { "date-parts" : [ [ "2013" ] ] }, "page" : "2-6", "publisher" : "FLM Publishing Association", "publisher-place" : "Fredericton", "title" : "Ethnomathematics and the limits of culture", "type" : "article-journal", "volume" : "33" }, "locator" : "219", "uris" : [ "http://www.mendeley.com/documents/?uuid=3bb20d4e-557a-4a8a-a1a9-8654286318ee" ] } ], "mendeley" : { "formattedCitation" : "(PAIS, 2013, p. 219)", "plainTextFormattedCitation" : "(PAIS, 2013, p. 219)", "previouslyFormattedCitation" : "(PAIS, 2013, p. 219)"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(PAIS, 2013, p. 219)</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“altamente tecnológicas”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"Vithal", "given" : "Renuka", "non-dropping-particle" : "", "parse-names" : false, "suffix" : "" }, { "dropping-particle" : "", "family" : "Skovsmose", "given" : "Ole", "non-dropping-particle" : "", "parse-names" : false, "suffix" : "" } ], "container-title" : "Educational Studies in Mathematics", "id" : "ITEM-1", "issued" : { "date-parts" : [ [ "1997" ] ] }, "page" : "131-158", "publisher" : "Kluwer Academic Publishers", "title" : "The end of innocence: a critique of \u2018ethnomathematics\u2019", "type" : "article-journal", "volume" : "34" }, "locator" : "133", "uris" : [ "http://www.mendeley.com/documents/?uuid=e5bdfab9-1ab9-4b0b-9656-bf62595826d2" ] } ], "mendeley" : { "formattedCitation" : "(VITHAL; SKOVSMOSE, 1997, p. 133)", "plainTextFormattedCitation" : "(VITHAL; SKOVSMOSE, 1997, p. 133)", "previouslyFormattedCitation" : "(VITHAL; SKOVSMOSE, 1997, p. 133)"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(VITHAL; SKOVSMOSE, 1997, p. 133)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deixam de levar em toda que toda atividade humana é tecnologicamente estruturada, embora não cientificamente sistematizada.</w:t>
      </w:r>
    </w:p>
    <w:p w14:paraId="5AD1C2D7"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Se a cognição ordena a gramática temos como resultado as pesquisas gerativistas de cunho formalista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"10.1126/science.298.5598.1569", "ISSN" : "1095-9203", "PMID" : "12446899", "abstract" : "We argue that an understanding of the faculty of language requires substantial interdisciplinary cooperation. We suggest how current developments in linguistics can be profitably wedded to work in evolutionary biology, anthropology, psychology, and neuroscience. We submit that a distinction should be made between the faculty of language in the broad sense (FLB) and in the narrow sense (FLN). FLB includes a sensory-motor system, a conceptual-intentional system, and the computational mechanisms for recursion, providing the capacity to generate an infinite range of expressions from a finite set of elements. We hypothesize that FLN only includes recursion and is the only uniquely human component of the faculty of language. We further argue that FLN may have evolved for reasons other than language, hence comparative studies might look for evidence of such computations outside of the domain of communication (for example, number, navigation, and social relations).", "author" : [ { "dropping-particle" : "", "family" : "Hauser", "given" : "Marc D", "non-dropping-particle" : "", "parse-names" : false, "suffix" : "" }, { "dropping-particle" : "", "family" : "Chomsky", "given" : "Noam", "non-dropping-particle" : "", "parse-names" : false, "suffix" : "" }, { "dropping-particle" : "", "family" : "Fitch", "given" : "W Tecumseh", "non-dropping-particle" : "", "parse-names" : false, "suffix" : "" } ], "container-title" : "Science (New York, N.Y.)", "id" : "ITEM-1", "issue" : "5598", "issued" : { "date-parts" : [ [ "2002", "11", "22" ] ] }, "page" : "1569-1579", "title" : "The faculty of language: what is it, who has it, and how did it evolve?", "type" : "article-journal", "volume" : "298" }, "uris" : [ "http://www.mendeley.com/documents/?uuid=fa0478b6-ef13-4ee4-bd36-8a29f4301749" ] } ], "mendeley" : { "formattedCitation" : "(HAUSER et al., 2002)", "plainTextFormattedCitation" : "(HAUSER et al., 2002)", "previouslyFormattedCitation" : "(HAUSER et al., 2002)"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(HAUSER et al., 2002)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se invertemos essa ordem e tornamos a gramática determinante obtemos a formulação de Sapir-Whorf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"10.2307/3713880", "ISSN" : "00267937", "author" : [ { "dropping-particle" : "", "family" : "Sapir", "given" : "Edward", "non-dropping-particle" : "", "parse-names" : false, "suffix" : "" } ], "container-title" : "The Modern Language Review", "id" : "ITEM-1", "issue" : "2", "issued" : { "date-parts" : [ [ "1924", "4" ] ] }, "page" : "253", "publisher" : "Harc", "publisher-place" : "New York", "title" : "Language. An Introduction to the Study of Speech", "type" : "article-journal", "volume" : "19" }, "uris" : [ "http://www.mendeley.com/documents/?uuid=11fa3489-538b-46cb-8d5c-e137f9ea9fb1" ] } ], "mendeley" : { "formattedCitation" : "(SAPIR, 1924)", "plainTextFormattedCitation" : "(SAPIR, 1924)", "previouslyFormattedCitation" : "(SAPIR, 1924)"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(SAPIR, 1924)</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a qual diz que a língua forma a base perceptiva e conceitual da cultura. Se dizemos que a cognição determina a cultura, temos como exemplo a posição de que a percepção das cores básicas é universal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"Kay", "given" : "Paul", "non-dropping-particle" : "", "parse-names" : false, "suffix" : "" }, { "dropping-particle" : "", "family" : "Berlin", "given" : "Brent", "non-dropping-particle" : "", "parse-names" : false, "suffix" : "" }, { "dropping-particle" : "", "family" : "Maffi", "given" : "Luisa", "non-dropping-particle" : "", "parse-names" : false, "suffix" : "" }, { "dropping-particle" : "", "family" : "Merrifield", "given" : "William", "non-dropping-particle" : "", "parse-names" : false, "suffix" : "" } ], "chapter-number" : "1", "container-title" : "Color categories in thought and language", "id" : "ITEM-1", "issued" : { "date-parts" : [ [ "1997" ] ] }, "page" : "21-58", "publisher" : "Cambridge University Press", "publisher-place" : "Cambridge", "title" : "Color naming across languages", "type" : "chapter" }, "uris" : [ "http://www.mendeley.com/documents/?uuid=6da6b210-1277-4bf6-a91b-97cce7e41460" ] } ], "mendeley" : { "formattedCitation" : "(KAY et al., 1997)", "plainTextFormattedCitation" : "(KAY et al., 1997)", "previouslyFormattedCitation" : "(KAY et al., 1997)"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(KAY et al., 1997)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sendo encontradas em todas as culturas. Se propusermos que o uso discursivo da língua estrutura a cultura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"Urban", "given" : "Greg", "non-dropping-particle" : "", "parse-names" : false, "suffix" : "" } ], "container-title" : "Natural Histories of Discourse", "editor" : [ { "dropping-particle" : "", "family" : "Siverstein", "given" : "Michael", "non-dropping-particle" : "", "parse-names" : false, "suffix" : "" }, { "dropping-particle" : "", "family" : "Urban", "given" : "Greg", "non-dropping-particle" : "", "parse-names" : false, "suffix" : "" } ], "id" : "ITEM-1", "issued" : { "date-parts" : [ [ "1996" ] ] }, "publisher" : "University of Chicago Press", "title" : "A Discourse-Centered Approach to Culture An Approach to Culture", "type" : "chapter" }, "uris" : [ "http://www.mendeley.com/documents/?uuid=615281b5-0e13-4b09-b35c-41f6a0a057f2" ] } ], "mendeley" : { "formattedCitation" : "(URBAN, 1996)", "plainTextFormattedCitation" : "(URBAN, 1996)", "previouslyFormattedCitation" : "(URBAN, 1996)"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(URBAN, 1996)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Se propomos que a cultura é quem determina a cognição, temos como exemplo os estudos da personalidade em Bali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"9780786725007", "author" : [ { "dropping-particle" : "", "family" : "Geertz", "given" : "Clifford", "non-dropping-particle" : "", "parse-names" : false, "suffix" : "" } ], "id" : "ITEM-1", "issued" : { "date-parts" : [ [ "1973" ] ] }, "publisher" : "Basic Books", "publisher-place" : "New York", "title" : "The interpretation of Cultures", "type" : "book" }, "uris" : [ "http://www.mendeley.com/documents/?uuid=a040bf82-b2fc-4629-baa1-66f1b192d2e9" ] } ], "mendeley" : { "formattedCitation" : "(GEERTZ, 1973)", "plainTextFormattedCitation" : "(GEERTZ, 1973)", "previouslyFormattedCitation" : "(GEERTZ, 1973)"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(GEERTZ, 1973)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por exemplo. Ainda, se temos o caso de a gramática determinar as condutas culturais, podemos observar os trabalho dos linguistas em tipologia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"ISBN" : "0893912034", "author" : [ { "dropping-particle" : "", "family" : "Chafe", "given" : "Wallace", "non-dropping-particle" : "", "parse-names" : false, "suffix" : "" }, { "dropping-particle" : "", "family" : "Nichols", "given" : "Johanna", "non-dropping-particle" : "", "parse-names" : false, "suffix" : "" } ], "id" : "ITEM-1", "issued" : { "date-parts" : [ [ "1986" ] ] }, "publisher" : "Ablex Publishing Corporation", "publisher-place" : "Norwood", "title" : "Evidentiality : the linguistic coding of epistemology", "type" : "book" }, "uris" : [ "http://www.mendeley.com/documents/?uuid=e13d7fb8-c9d8-4570-b5dd-20864688896e" ] } ], "mendeley" : { "formattedCitation" : "(CHAFE; NICHOLS, 1986)", "plainTextFormattedCitation" : "(CHAFE; NICHOLS, 1986)", "previouslyFormattedCitation" : "(CHAFE; NICHOLS, 1986)"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(CHAFE; NICHOLS, 1986)</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das formas antropológicas de lidar com o fenômeno da iconicidade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"Gell", "given" : "Alfred", "non-dropping-particle" : "", "parse-names" : false, "suffix" : "" } ], "id" : "ITEM-1", "issued" : { "date-parts" : [ [ "1999" ] ] }, "publisher" : "The Athlone", "publisher-place" : "London", "title" : "The Art of Anthropology Essays and Diagrams", "type" : "book" }, "locator" : "232", "uris" : [ "http://www.mendeley.com/documents/?uuid=3fa0a154-e444-4f1f-812a-19ec07a56394" ] } ], "mendeley" : { "formattedCitation" : "(GELL, 1999, p. 232)", "plainTextFormattedCitation" : "(GELL, 1999, p. 232)", "previouslyFormattedCitation" : "(GELL, 1999, p. 232)"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(GELL, 1999, p. 232)</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mais tradicionalmente estudado pela tipologia.</w:t>
      </w:r>
    </w:p>
    <w:p w14:paraId="3C2C9D07" w14:textId="1C4FE3C1"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 noção de que possa existir uma matemática culturalmente independente, por exemplo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"DOI" : "10.1016/j.sbspro.2014.09.215", "ISSN" : "1877-0428", "author" : [ { "dropping-particle" : "", "family" : "Cimen", "given" : "O. Arda", "non-dropping-particle" : "", "parse-names" : false, "suffix" : "" } ], "container-title" : "Procedia - Social and Behavioral Sciences", "id" : "ITEM-1", "issued" : { "date-parts" : [ [ "2014" ] ] }, "page" : "523-528", "publisher" : "Elsevier B.V.", "title" : "Discussing ethnomathematics : Is mathematics culturally dependent ?", "type" : "article-journal", "volume" : "152" }, "locator" : "525", "uris" : [ "http://www.mendeley.com/documents/?uuid=84bf7a61-1eab-49b2-9b07-4045f36a8bf0" ] } ], "mendeley" : { "formattedCitation" : "(CIMEN, 2014, p. 525)", "plainTextFormattedCitation" : "(CIMEN, 2014, p. 525)", "previouslyFormattedCitation" : "(CIMEN, 2014, p. 525)"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(CIMEN, 2014, p. 525)</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é fruto direto, não da negação dos aspectos culturais desta, mas de suas premissas, ao não reconhecer que absolutamente todas as práticas culturais tidas como numéricas compartilham dessa condição socialmente construída. Com essas observações chega-se a questão de saber se, assim com a cultura contém a matemática, a matemática e a língua têm vínculos em comum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"D\u00b4Ambrosio", "given" : "Ubiratan", "non-dropping-particle" : "", "parse-names" : false, "suffix" : "" } ], "container-title" : "Mathematics Across Cultures: The History of Non-Western Mathematics", "editor" : [ { "dropping-particle" : "", "family" : "Selin", "given" : "Helaine", "non-dropping-particle" : "", "parse-names" : false, "suffix" : "" } ], "id" : "ITEM-1", "issued" : { "date-parts" : [ [ "2000" ] ] }, "page" : "79-92", "publisher" : "Kluwer Academic Publishers", "publisher-place" : "Dordrecht", "title" : "A Historiographical Proposal for Non-Western Mathematics", "type" : "chapter" }, "locator" : "79", "uris" : [ "http://www.mendeley.com/documents/?uuid=828d6893-3fc7-46d2-b45b-f601283bc843" ] }, { "id" : "ITEM-2", "itemData" : { "DOI" : "10.1207/s15327833mtl0102_3", "ISSN" : "1098-6065", "author" : [ { "dropping-particle" : "", "family" : "D'Ambrosio", "given" : "Ubiratan", "non-dropping-particle" : "", "parse-names" : false, "suffix" : "" } ], "container-title" : "Mathematical Thinking and Learning", "id" : "ITEM-2", "issue" : "2", "issued" : { "date-parts" : [ [ "1999", "6", "1" ] ] }, "note" : "doi: 10.1207/s15327833mtl0102_3", "page" : "131-153", "publisher" : "Routledge", "title" : "Literacy, Matheracy, and Technocracy: A Trivium for Today", "type" : "article-journal", "volume" : "1" }, "locator" : "137", "uris" : [ "http://www.mendeley.com/documents/?uuid=9c2c07d0-decb-4504-ae3b-12ef4f9773dc" ] } ], "mendeley" : { "formattedCitation" : "(D\u2019AMBROSIO, 1999, p. 137; D\u00b4AMBROSIO, 2000, p. 79)", "plainTextFormattedCitation" : "(D\u2019AMBROSIO, 1999, p. 137; D\u00b4AMBROSIO, 2000, p. 79)", "previouslyFormattedCitation" : "(D\u2019AMBROSIO, 1999, p. 137; D\u00b4AMBROSIO, 2000, p. 79)"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(D’AMBROSIO, 1999, p. 137; D´AMBROSIO, 2000, p. 79)</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a última é uma derivação da primeira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"Maria", "given" : "Anna", "non-dropping-particle" : "", "parse-names" : false, "suffix" : "" }, { "dropping-particle" : "", "family" : "Sciullo", "given" : "Di", "non-dropping-particle" : "", "parse-names" : false, "suffix" : "" }, { "dropping-particle" : "", "family" : "Piattelli-palmarini", "given" : "Massimo", "non-dropping-particle" : "", "parse-names" : false, "suffix" : "" }, { "dropping-particle" : "", "family" : "Berwick", "given" : "Robert C", "non-dropping-particle" : "", "parse-names" : false, "suffix" : "" }, { "dropping-particle" : "", "family" : "Boeckx", "given" : "Cedric", "non-dropping-particle" : "", "parse-names" : false, "suffix" : "" }, { "dropping-particle" : "", "family" : "Jenkins", "given" : "Lyle", "non-dropping-particle" : "", "parse-names" : false, "suffix" : "" }, { "dropping-particle" : "", "family" : "Stromswold", "given" : "Karin", "non-dropping-particle" : "", "parse-names" : false, "suffix" : "" }, { "dropping-particle" : "", "family" : "Cheng", "given" : "Lisa Lai-shen", "non-dropping-particle" : "", "parse-names" : false, "suffix" : "" }, { "dropping-particle" : "", "family" : "Wedel", "given" : "Andrew", "non-dropping-particle" : "", "parse-names" : false, "suffix" : "" }, { "dropping-particle" : "", "family" : "Mcgilvray", "given" : "James", "non-dropping-particle" : "", "parse-names" : false, "suffix" : "" }, { "dropping-particle" : "Van", "family" : "Gelderen", "given" : "Elly", "non-dropping-particle" : "", "parse-names" : false, "suffix" : "" }, { "dropping-particle" : "", "family" : "Bever", "given" : "Thomas G", "non-dropping-particle" : "", "parse-names" : false, "suffix" : "" } ], "container-title" : "Biolinguistics", "id" : "ITEM-1", "issue" : "1", "issued" : { "date-parts" : [ [ "2009" ] ] }, "publisher" : "UNiversity of Arizona", "title" : "The Biological Nature of Human Language", "type" : "article-journal", "volume" : "4" }, "locator" : "7", "uris" : [ "http://www.mendeley.com/documents/?uuid=30a569ac-799f-47d4-b373-68bb97d4f9a2" ] } ], "mendeley" : { "formattedCitation" : "(MARIA et al., 2009, p. 7)", "plainTextFormattedCitation" : "(MARIA et al., 2009, p. 7)", "previouslyFormattedCitation" : "(MARIA et al., 2009, p. 7)"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(MARIA et al., 2009, p. 7)</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Ou seja, se é possível matematizar as práticas culturais, ou se estas estão embebidas, por meio da l</w:t>
      </w:r>
      <w:r w:rsidR="00A10CF6" w:rsidRPr="00643422">
        <w:rPr>
          <w:rFonts w:ascii="Times New Roman" w:eastAsia="Calibri" w:hAnsi="Times New Roman" w:cs="Times New Roman"/>
          <w:color w:val="000000" w:themeColor="text1"/>
        </w:rPr>
        <w:t>íngua, na cultura.</w:t>
      </w:r>
    </w:p>
    <w:p w14:paraId="1690F71A"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Há conclusões parecidas com os aspectos sociológicos da matemática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"Gerdes", "given" : "Paulus", "non-dropping-particle" : "", "parse-names" : false, "suffix" : "" } ], "id" : "ITEM-1", "issued" : { "date-parts" : [ [ "2014" ] ] }, "publisher" : "Instituto Superior de Tecnologias e Gest\u00e3o (ISTEG) (Higher", "publisher-place" : "Boane", "title" : "Ethnomathematics and Education in Africa", "type" : "book" }, "locator" : "31", "uris" : [ "http://www.mendeley.com/documents/?uuid=9141a924-4bae-407f-8eae-2ea1e83194e5" ] } ], "mendeley" : { "formattedCitation" : "(GERDES, 2014, p. 31)", "plainTextFormattedCitation" : "(GERDES, 2014, p. 31)", "previouslyFormattedCitation" : "(GERDES, 2014, p. 31)"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(GERDES, 2014, p. 31)</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Ou, em termos antropológicos, de que a Etnomatemática seja também  uma tecnografia </w:t>
      </w:r>
      <w:r w:rsidRPr="00643422">
        <w:rPr>
          <w:rFonts w:ascii="Times New Roman" w:eastAsia="Calibri" w:hAnsi="Times New Roman" w:cs="Times New Roman"/>
          <w:color w:val="000000" w:themeColor="text1"/>
        </w:rPr>
        <w:fldChar w:fldCharType="begin" w:fldLock="1"/>
      </w:r>
      <w:r w:rsidRPr="00643422">
        <w:rPr>
          <w:rFonts w:ascii="Times New Roman" w:eastAsia="Calibri" w:hAnsi="Times New Roman" w:cs="Times New Roman"/>
          <w:color w:val="000000" w:themeColor="text1"/>
        </w:rPr>
        <w:instrText>ADDIN CSL_CITATION { "citationItems" : [ { "id" : "ITEM-1", "itemData" : { "author" : [ { "dropping-particle" : "", "family" : "Sigaut", "given" : "Fran\u00e7ois", "non-dropping-particle" : "", "parse-names" : false, "suffix" : "" } ], "container-title" : "Companion Encyclopedia of Anhtropology", "editor" : [ { "dropping-particle" : "", "family" : "Ingold", "given" : "Tim", "non-dropping-particle" : "", "parse-names" : false, "suffix" : "" } ], "id" : "ITEM-1", "issued" : { "date-parts" : [ [ "1994" ] ] }, "page" : "420-459", "publisher" : "Routledge", "publisher-place" : "New York", "title" : "Technology", "type" : "chapter" }, "locator" : "423", "uris" : [ "http://www.mendeley.com/documents/?uuid=6273ae09-b6a7-4282-848d-f63808a7b899" ] } ], "mendeley" : { "formattedCitation" : "(SIGAUT, 1994, p. 423)", "plainTextFormattedCitation" : "(SIGAUT, 1994, p. 423)", "previouslyFormattedCitation" : "(SIGAUT, 1994, p. 423)" }, "properties" : { "noteIndex" : 0 }, "schema" : "https://github.com/citation-style-language/schema/raw/master/csl-citation.json" }</w:instrText>
      </w:r>
      <w:r w:rsidRPr="00643422">
        <w:rPr>
          <w:rFonts w:ascii="Times New Roman" w:eastAsia="Calibri" w:hAnsi="Times New Roman" w:cs="Times New Roman"/>
          <w:color w:val="000000" w:themeColor="text1"/>
        </w:rPr>
        <w:fldChar w:fldCharType="separate"/>
      </w:r>
      <w:r w:rsidRPr="00643422">
        <w:rPr>
          <w:rFonts w:ascii="Times New Roman" w:eastAsia="Calibri" w:hAnsi="Times New Roman" w:cs="Times New Roman"/>
          <w:noProof/>
          <w:color w:val="000000" w:themeColor="text1"/>
        </w:rPr>
        <w:t>(SIGAUT, 1994, p. 423)</w:t>
      </w:r>
      <w:r w:rsidRPr="00643422">
        <w:rPr>
          <w:rFonts w:ascii="Times New Roman" w:eastAsia="Calibri" w:hAnsi="Times New Roman" w:cs="Times New Roman"/>
          <w:color w:val="000000" w:themeColor="text1"/>
        </w:rPr>
        <w:fldChar w:fldCharType="end"/>
      </w:r>
      <w:r w:rsidRPr="00643422">
        <w:rPr>
          <w:rFonts w:ascii="Times New Roman" w:eastAsia="Calibri" w:hAnsi="Times New Roman" w:cs="Times New Roman"/>
          <w:color w:val="000000" w:themeColor="text1"/>
        </w:rPr>
        <w:t xml:space="preserve"> das tecnologias numéricas desenvolvidas por diferentes sociedades. Visto que ao realizar ações operadas (operações) tem variação, mas os resultados não, sendo invariáveis. Essa propriedade facetada é descrita nos enunciados da OBMEP. </w:t>
      </w:r>
    </w:p>
    <w:p w14:paraId="526466F4" w14:textId="77777777" w:rsidR="00F67353" w:rsidRPr="00643422" w:rsidRDefault="00F67353" w:rsidP="00F67353">
      <w:pPr>
        <w:keepNext/>
        <w:spacing w:before="120" w:line="360" w:lineRule="auto"/>
        <w:jc w:val="both"/>
        <w:outlineLvl w:val="0"/>
        <w:rPr>
          <w:rFonts w:ascii="Times New Roman" w:eastAsia="Calibri" w:hAnsi="Times New Roman" w:cs="Times New Roman"/>
          <w:b/>
          <w:color w:val="000000" w:themeColor="text1"/>
          <w:sz w:val="22"/>
          <w:szCs w:val="22"/>
        </w:rPr>
      </w:pPr>
      <w:r w:rsidRPr="00643422">
        <w:rPr>
          <w:rFonts w:ascii="Times New Roman" w:eastAsia="Calibri" w:hAnsi="Times New Roman" w:cs="Times New Roman"/>
          <w:b/>
          <w:color w:val="000000" w:themeColor="text1"/>
          <w:sz w:val="22"/>
          <w:szCs w:val="22"/>
        </w:rPr>
        <w:t>Considerações</w:t>
      </w:r>
    </w:p>
    <w:p w14:paraId="70CE758E" w14:textId="77777777"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Este artigo buscou contribuir para a discussão dos estudos que compreendem o campo de pesquisas em Etnomatemática, do ponto de vista dos estudos sobre cultura e linguagem. Partiu dos três itens propostos por Arouca-Araujo (2016) sobre o programa etnomatemática: 1) sobre o número de pessoas que a investigam; 2) como aplicar os conceitos desenvolvidos em sala de aula e 3) a relação do campo com a identidade e cultura de seus praticantes. Argumentou-se sobre os itens 2 e 3 que os termos discutido por essas pesquisas têm para com as noções de cultura e linguagem. Observou-se dispersões terminológicas que dificultam a compreensão dessas perspectivas, ao não adotarem bases comuns do que entendem dos conceitos de pesquisa.</w:t>
      </w:r>
    </w:p>
    <w:p w14:paraId="3B80BD66" w14:textId="77EF98DE" w:rsidR="00F67353" w:rsidRPr="00643422" w:rsidRDefault="00F67353" w:rsidP="00F67353">
      <w:pPr>
        <w:spacing w:line="360" w:lineRule="auto"/>
        <w:ind w:firstLine="567"/>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Com efeito, propôs denominar as Etnomatemáticas, em acordo com as definições de seus autores, </w:t>
      </w:r>
      <w:r w:rsidR="006E5675" w:rsidRPr="00643422">
        <w:rPr>
          <w:rFonts w:ascii="Times New Roman" w:eastAsia="Calibri" w:hAnsi="Times New Roman" w:cs="Times New Roman"/>
          <w:color w:val="000000" w:themeColor="text1"/>
        </w:rPr>
        <w:t xml:space="preserve">como </w:t>
      </w:r>
      <w:r w:rsidRPr="00643422">
        <w:rPr>
          <w:rFonts w:ascii="Times New Roman" w:eastAsia="Calibri" w:hAnsi="Times New Roman" w:cs="Times New Roman"/>
          <w:color w:val="000000" w:themeColor="text1"/>
        </w:rPr>
        <w:t>tecnografia das práticas culturais matematicamente interpretáveis nas sociedades estudadas. Tal interpretação</w:t>
      </w:r>
      <w:r w:rsidR="00680439" w:rsidRPr="00643422">
        <w:rPr>
          <w:rFonts w:ascii="Times New Roman" w:eastAsia="Calibri" w:hAnsi="Times New Roman" w:cs="Times New Roman"/>
          <w:color w:val="000000" w:themeColor="text1"/>
        </w:rPr>
        <w:t xml:space="preserve"> buscou o exemplo dos enunciados da OBMEP </w:t>
      </w:r>
      <w:r w:rsidR="001D79E0">
        <w:rPr>
          <w:rFonts w:ascii="Times New Roman" w:eastAsia="Calibri" w:hAnsi="Times New Roman" w:cs="Times New Roman"/>
          <w:color w:val="000000" w:themeColor="text1"/>
        </w:rPr>
        <w:t xml:space="preserve">tomando </w:t>
      </w:r>
      <w:bookmarkStart w:id="0" w:name="_GoBack"/>
      <w:bookmarkEnd w:id="0"/>
      <w:r w:rsidR="00680439" w:rsidRPr="00643422">
        <w:rPr>
          <w:rFonts w:ascii="Times New Roman" w:eastAsia="Calibri" w:hAnsi="Times New Roman" w:cs="Times New Roman"/>
          <w:color w:val="000000" w:themeColor="text1"/>
        </w:rPr>
        <w:t xml:space="preserve">os </w:t>
      </w:r>
      <w:r w:rsidRPr="00643422">
        <w:rPr>
          <w:rFonts w:ascii="Times New Roman" w:eastAsia="Calibri" w:hAnsi="Times New Roman" w:cs="Times New Roman"/>
          <w:color w:val="000000" w:themeColor="text1"/>
        </w:rPr>
        <w:t xml:space="preserve">aspectos simbólicos </w:t>
      </w:r>
      <w:r w:rsidR="00680439" w:rsidRPr="00643422">
        <w:rPr>
          <w:rFonts w:ascii="Times New Roman" w:eastAsia="Calibri" w:hAnsi="Times New Roman" w:cs="Times New Roman"/>
          <w:color w:val="000000" w:themeColor="text1"/>
        </w:rPr>
        <w:t xml:space="preserve">das respostas </w:t>
      </w:r>
      <w:r w:rsidRPr="00643422">
        <w:rPr>
          <w:rFonts w:ascii="Times New Roman" w:eastAsia="Calibri" w:hAnsi="Times New Roman" w:cs="Times New Roman"/>
          <w:color w:val="000000" w:themeColor="text1"/>
        </w:rPr>
        <w:t xml:space="preserve">como </w:t>
      </w:r>
      <w:r w:rsidR="003D13D6" w:rsidRPr="00643422">
        <w:rPr>
          <w:rFonts w:ascii="Times New Roman" w:eastAsia="Calibri" w:hAnsi="Times New Roman" w:cs="Times New Roman"/>
          <w:color w:val="000000" w:themeColor="text1"/>
        </w:rPr>
        <w:t>variações</w:t>
      </w:r>
      <w:r w:rsidR="003D13D6" w:rsidRPr="00643422">
        <w:rPr>
          <w:rFonts w:ascii="Times New Roman" w:eastAsia="Calibri" w:hAnsi="Times New Roman" w:cs="Times New Roman"/>
          <w:color w:val="000000" w:themeColor="text1"/>
        </w:rPr>
        <w:t xml:space="preserve"> das </w:t>
      </w:r>
      <w:r w:rsidRPr="00643422">
        <w:rPr>
          <w:rFonts w:ascii="Times New Roman" w:eastAsia="Calibri" w:hAnsi="Times New Roman" w:cs="Times New Roman"/>
          <w:color w:val="000000" w:themeColor="text1"/>
        </w:rPr>
        <w:t xml:space="preserve">dimensões quantitativas, mensuráveis em padrões de estrutura, forma, duração e magnitude. Ao dialogar com a proposta de reflexão sobre o campo dos estudos etnomatemáticos, buscou situar os termos cultura, linguagem e matemática, a partir de concepções antropológicas de cultura e, linguísticas, de linguagem/língua. Para isso, criticou o argumento da oposição entre natureza e cultura, para exemplificar que a matemática pode ser compreendida como uma tecnologia humana, e jamais como questão metafisica. Com isso, afirma a diversidade do pensamento humano que, em sua relação com a linguagem, conhece a si e ao meio como resultado dessa reflexão. </w:t>
      </w:r>
    </w:p>
    <w:p w14:paraId="691955F7" w14:textId="77777777" w:rsidR="00F67353" w:rsidRPr="00643422" w:rsidRDefault="00F67353" w:rsidP="00F67353">
      <w:pPr>
        <w:keepNext/>
        <w:spacing w:before="120" w:line="360" w:lineRule="auto"/>
        <w:jc w:val="both"/>
        <w:outlineLvl w:val="0"/>
        <w:rPr>
          <w:rFonts w:ascii="Times New Roman" w:eastAsia="Calibri" w:hAnsi="Times New Roman" w:cs="Times New Roman"/>
          <w:b/>
          <w:color w:val="000000" w:themeColor="text1"/>
        </w:rPr>
      </w:pPr>
      <w:r w:rsidRPr="00643422">
        <w:rPr>
          <w:rFonts w:ascii="Times New Roman" w:eastAsia="Calibri" w:hAnsi="Times New Roman" w:cs="Times New Roman"/>
          <w:b/>
          <w:color w:val="000000" w:themeColor="text1"/>
          <w:sz w:val="22"/>
          <w:szCs w:val="22"/>
        </w:rPr>
        <w:t>Referências</w:t>
      </w:r>
    </w:p>
    <w:p w14:paraId="0C03C29E" w14:textId="77777777" w:rsidR="00F67353" w:rsidRPr="00643422" w:rsidRDefault="00F67353" w:rsidP="00F67353">
      <w:pPr>
        <w:widowControl w:val="0"/>
        <w:autoSpaceDE w:val="0"/>
        <w:autoSpaceDN w:val="0"/>
        <w:adjustRightInd w:val="0"/>
        <w:jc w:val="both"/>
        <w:rPr>
          <w:rFonts w:ascii="Times New Roman" w:eastAsia="Calibri" w:hAnsi="Times New Roman" w:cs="Times New Roman"/>
          <w:color w:val="000000" w:themeColor="text1"/>
        </w:rPr>
      </w:pPr>
    </w:p>
    <w:p w14:paraId="074DF1BB"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ARISMENDI-PARDI, E. J. Ethnomathematics: The Study of People, Culture, and Mathematical Anthropology. 2002. Orange Coast College. Disponível em: &lt;http://occonline.occ.cccd.edu/online/earismendipardi/ANTH 140 Book.pdf&gt;. .</w:t>
      </w:r>
    </w:p>
    <w:p w14:paraId="543F4D9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AROCA-ARAUJO, A. Twelve callings to the ethnomathematicians of the world. </w:t>
      </w:r>
      <w:r w:rsidRPr="00643422">
        <w:rPr>
          <w:rFonts w:ascii="Times New Roman" w:eastAsia="Calibri" w:hAnsi="Times New Roman" w:cs="Times New Roman"/>
          <w:b/>
          <w:bCs/>
          <w:color w:val="000000" w:themeColor="text1"/>
        </w:rPr>
        <w:t>International Journal for Research in Mathematics Education</w:t>
      </w:r>
      <w:r w:rsidRPr="00643422">
        <w:rPr>
          <w:rFonts w:ascii="Times New Roman" w:eastAsia="Calibri" w:hAnsi="Times New Roman" w:cs="Times New Roman"/>
          <w:color w:val="000000" w:themeColor="text1"/>
        </w:rPr>
        <w:t>, v. 6, n. 1, p. 261–284, 2016.</w:t>
      </w:r>
    </w:p>
    <w:p w14:paraId="1B90EF67"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ASCHER, M. </w:t>
      </w:r>
      <w:r w:rsidRPr="00643422">
        <w:rPr>
          <w:rFonts w:ascii="Times New Roman" w:eastAsia="Calibri" w:hAnsi="Times New Roman" w:cs="Times New Roman"/>
          <w:b/>
          <w:bCs/>
          <w:color w:val="000000" w:themeColor="text1"/>
        </w:rPr>
        <w:t>Mathematics Elsewhere An Exploration of Ideas Across Cultures</w:t>
      </w:r>
      <w:r w:rsidRPr="00643422">
        <w:rPr>
          <w:rFonts w:ascii="Times New Roman" w:eastAsia="Calibri" w:hAnsi="Times New Roman" w:cs="Times New Roman"/>
          <w:color w:val="000000" w:themeColor="text1"/>
        </w:rPr>
        <w:t>. Princeton: Princeton University Press, 2002.</w:t>
      </w:r>
    </w:p>
    <w:p w14:paraId="223D0FD2"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BARBOSA, J. C. Modelagem na Educação Matemática: contribuições para o debate teórico. Reunião Anual da ANPED. </w:t>
      </w:r>
      <w:r w:rsidRPr="00643422">
        <w:rPr>
          <w:rFonts w:ascii="Times New Roman" w:eastAsia="Calibri" w:hAnsi="Times New Roman" w:cs="Times New Roman"/>
          <w:b/>
          <w:bCs/>
          <w:color w:val="000000" w:themeColor="text1"/>
        </w:rPr>
        <w:t xml:space="preserve"> Anais....</w:t>
      </w:r>
      <w:r w:rsidRPr="00643422">
        <w:rPr>
          <w:rFonts w:ascii="Times New Roman" w:eastAsia="Calibri" w:hAnsi="Times New Roman" w:cs="Times New Roman"/>
          <w:color w:val="000000" w:themeColor="text1"/>
        </w:rPr>
        <w:t xml:space="preserve"> p.1–30, 2001. Caxambu: Associação Nacional de Pós-Graduação e Pesquisa em Educação.</w:t>
      </w:r>
    </w:p>
    <w:p w14:paraId="1B94B71E"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BARBOSA, J. C. Modelagem Matemática: O que é? Por que? Como? </w:t>
      </w:r>
      <w:r w:rsidRPr="00643422">
        <w:rPr>
          <w:rFonts w:ascii="Times New Roman" w:eastAsia="Calibri" w:hAnsi="Times New Roman" w:cs="Times New Roman"/>
          <w:b/>
          <w:bCs/>
          <w:color w:val="000000" w:themeColor="text1"/>
        </w:rPr>
        <w:t>Veritati</w:t>
      </w:r>
      <w:r w:rsidRPr="00643422">
        <w:rPr>
          <w:rFonts w:ascii="Times New Roman" w:eastAsia="Calibri" w:hAnsi="Times New Roman" w:cs="Times New Roman"/>
          <w:color w:val="000000" w:themeColor="text1"/>
        </w:rPr>
        <w:t>, n. 4, p. 73–80, 2004.</w:t>
      </w:r>
    </w:p>
    <w:p w14:paraId="3341CCD8"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BARBOSA, J. C.; SANTOS, M. A. DOS; OLIVEIRA, M. L. C. DE; SILVA, J. N. D. DA. Modelagem matemática na sala de aula e as discussões dos alunos. IX Encontro Nacional de Educação Matemática. </w:t>
      </w:r>
      <w:r w:rsidRPr="00643422">
        <w:rPr>
          <w:rFonts w:ascii="Times New Roman" w:eastAsia="Calibri" w:hAnsi="Times New Roman" w:cs="Times New Roman"/>
          <w:b/>
          <w:bCs/>
          <w:color w:val="000000" w:themeColor="text1"/>
        </w:rPr>
        <w:t xml:space="preserve"> Anais....</w:t>
      </w:r>
      <w:r w:rsidRPr="00643422">
        <w:rPr>
          <w:rFonts w:ascii="Times New Roman" w:eastAsia="Calibri" w:hAnsi="Times New Roman" w:cs="Times New Roman"/>
          <w:color w:val="000000" w:themeColor="text1"/>
        </w:rPr>
        <w:t xml:space="preserve"> v. 1, p.1–9, 2007. Belo Horizonte: Sociedade Brasileira de Educação Matemática.</w:t>
      </w:r>
    </w:p>
    <w:p w14:paraId="7E5C573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BARTON, B. Ethnomathematics and Philosophy, p. 54–58, 1990.</w:t>
      </w:r>
    </w:p>
    <w:p w14:paraId="378B4754"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BENVENISTE, E. Nature du signe linguistique. </w:t>
      </w:r>
      <w:r w:rsidRPr="00643422">
        <w:rPr>
          <w:rFonts w:ascii="Times New Roman" w:eastAsia="Calibri" w:hAnsi="Times New Roman" w:cs="Times New Roman"/>
          <w:b/>
          <w:bCs/>
          <w:color w:val="000000" w:themeColor="text1"/>
        </w:rPr>
        <w:t>Acta Linguistica</w:t>
      </w:r>
      <w:r w:rsidRPr="00643422">
        <w:rPr>
          <w:rFonts w:ascii="Times New Roman" w:eastAsia="Calibri" w:hAnsi="Times New Roman" w:cs="Times New Roman"/>
          <w:color w:val="000000" w:themeColor="text1"/>
        </w:rPr>
        <w:t>, n. November 2012, p. 37–41, 1939. Paris.</w:t>
      </w:r>
    </w:p>
    <w:p w14:paraId="753C33B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BERLIN, B. The chicken and the egg-head revisited: further evidence for the intellectualist bases of ethnobiological classification. In: D. A. Posey; W. L. Overal (Eds.); Proceedings of the First International Congress of Ethnobiology. </w:t>
      </w:r>
      <w:r w:rsidRPr="00643422">
        <w:rPr>
          <w:rFonts w:ascii="Times New Roman" w:eastAsia="Calibri" w:hAnsi="Times New Roman" w:cs="Times New Roman"/>
          <w:b/>
          <w:bCs/>
          <w:color w:val="000000" w:themeColor="text1"/>
        </w:rPr>
        <w:t xml:space="preserve"> Anais....</w:t>
      </w:r>
      <w:r w:rsidRPr="00643422">
        <w:rPr>
          <w:rFonts w:ascii="Times New Roman" w:eastAsia="Calibri" w:hAnsi="Times New Roman" w:cs="Times New Roman"/>
          <w:color w:val="000000" w:themeColor="text1"/>
        </w:rPr>
        <w:t xml:space="preserve"> p.19–33, 1990. Belém: Museu Paraense Emílio Goeldi.</w:t>
      </w:r>
    </w:p>
    <w:p w14:paraId="2198B0ED"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BORBA, M. C.; SKOVSMOSE, O. The Ideology of Certainty in Mathematics Education. </w:t>
      </w:r>
      <w:r w:rsidRPr="00643422">
        <w:rPr>
          <w:rFonts w:ascii="Times New Roman" w:eastAsia="Calibri" w:hAnsi="Times New Roman" w:cs="Times New Roman"/>
          <w:b/>
          <w:bCs/>
          <w:color w:val="000000" w:themeColor="text1"/>
        </w:rPr>
        <w:t>For the Learning of Mathematics</w:t>
      </w:r>
      <w:r w:rsidRPr="00643422">
        <w:rPr>
          <w:rFonts w:ascii="Times New Roman" w:eastAsia="Calibri" w:hAnsi="Times New Roman" w:cs="Times New Roman"/>
          <w:color w:val="000000" w:themeColor="text1"/>
        </w:rPr>
        <w:t>, v. 3, n. November, p. 17–23, 1997. Kingston: FLM Publishing Association.</w:t>
      </w:r>
    </w:p>
    <w:p w14:paraId="79C8257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BUCHANAN, B. </w:t>
      </w:r>
      <w:r w:rsidRPr="00643422">
        <w:rPr>
          <w:rFonts w:ascii="Times New Roman" w:eastAsia="Calibri" w:hAnsi="Times New Roman" w:cs="Times New Roman"/>
          <w:b/>
          <w:bCs/>
          <w:color w:val="000000" w:themeColor="text1"/>
        </w:rPr>
        <w:t>Onto-Ethologies The Animal Environments of Uexküll, Heidegger, Merleau-Ponty, and Deleuze</w:t>
      </w:r>
      <w:r w:rsidRPr="00643422">
        <w:rPr>
          <w:rFonts w:ascii="Times New Roman" w:eastAsia="Calibri" w:hAnsi="Times New Roman" w:cs="Times New Roman"/>
          <w:color w:val="000000" w:themeColor="text1"/>
        </w:rPr>
        <w:t>. New York: Suny Press, 2008.</w:t>
      </w:r>
    </w:p>
    <w:p w14:paraId="0E5287B3"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CHAFE, W.; NICHOLS, J. </w:t>
      </w:r>
      <w:r w:rsidRPr="00643422">
        <w:rPr>
          <w:rFonts w:ascii="Times New Roman" w:eastAsia="Calibri" w:hAnsi="Times New Roman" w:cs="Times New Roman"/>
          <w:b/>
          <w:bCs/>
          <w:color w:val="000000" w:themeColor="text1"/>
        </w:rPr>
        <w:t>Evidentiality: the linguistic coding of epistemology</w:t>
      </w:r>
      <w:r w:rsidRPr="00643422">
        <w:rPr>
          <w:rFonts w:ascii="Times New Roman" w:eastAsia="Calibri" w:hAnsi="Times New Roman" w:cs="Times New Roman"/>
          <w:color w:val="000000" w:themeColor="text1"/>
        </w:rPr>
        <w:t>. Norwood: Ablex Publishing Corporation, 1986.</w:t>
      </w:r>
    </w:p>
    <w:p w14:paraId="0F2C9182"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CHRISOMALIS, S. Numerical Notation. A Comparative History. </w:t>
      </w:r>
      <w:r w:rsidRPr="00643422">
        <w:rPr>
          <w:rFonts w:ascii="Times New Roman" w:eastAsia="Calibri" w:hAnsi="Times New Roman" w:cs="Times New Roman"/>
          <w:b/>
          <w:bCs/>
          <w:color w:val="000000" w:themeColor="text1"/>
        </w:rPr>
        <w:t>Numerical Notation</w:t>
      </w:r>
      <w:r w:rsidRPr="00643422">
        <w:rPr>
          <w:rFonts w:ascii="Times New Roman" w:eastAsia="Calibri" w:hAnsi="Times New Roman" w:cs="Times New Roman"/>
          <w:color w:val="000000" w:themeColor="text1"/>
        </w:rPr>
        <w:t>, 2010. Cambridge: Cambridge University Press.</w:t>
      </w:r>
    </w:p>
    <w:p w14:paraId="3BD6D38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CIMEN, O. A. Discussing ethnomathematics: Is mathematics culturally dependent? </w:t>
      </w:r>
      <w:r w:rsidRPr="00643422">
        <w:rPr>
          <w:rFonts w:ascii="Times New Roman" w:eastAsia="Calibri" w:hAnsi="Times New Roman" w:cs="Times New Roman"/>
          <w:b/>
          <w:bCs/>
          <w:color w:val="000000" w:themeColor="text1"/>
        </w:rPr>
        <w:t>Procedia - Social and Behavioral Sciences</w:t>
      </w:r>
      <w:r w:rsidRPr="00643422">
        <w:rPr>
          <w:rFonts w:ascii="Times New Roman" w:eastAsia="Calibri" w:hAnsi="Times New Roman" w:cs="Times New Roman"/>
          <w:color w:val="000000" w:themeColor="text1"/>
        </w:rPr>
        <w:t>, v. 152, p. 523–528, 2014. Elsevier B.V. Disponível em: &lt;http://dx.doi.org/10.1016/j.sbspro.2014.09.215&gt;. .</w:t>
      </w:r>
    </w:p>
    <w:p w14:paraId="3B7E082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D´AMBROSIO, U. Socio-cultural bases for mathematical education. Proceedings of the Fifth International Congress on Mathematical Education. </w:t>
      </w:r>
      <w:r w:rsidRPr="00643422">
        <w:rPr>
          <w:rFonts w:ascii="Times New Roman" w:eastAsia="Calibri" w:hAnsi="Times New Roman" w:cs="Times New Roman"/>
          <w:b/>
          <w:bCs/>
          <w:color w:val="000000" w:themeColor="text1"/>
        </w:rPr>
        <w:t xml:space="preserve"> Anais...,</w:t>
      </w:r>
      <w:r w:rsidRPr="00643422">
        <w:rPr>
          <w:rFonts w:ascii="Times New Roman" w:eastAsia="Calibri" w:hAnsi="Times New Roman" w:cs="Times New Roman"/>
          <w:color w:val="000000" w:themeColor="text1"/>
        </w:rPr>
        <w:t xml:space="preserve"> 1984. Birkhäuser Boston: Springer Science+Business Media LLC.</w:t>
      </w:r>
    </w:p>
    <w:p w14:paraId="6D0BDB1E"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D´AMBROSIO, U. A Historiographical Proposal for Non-Western Mathematics. In: H. Selin (Ed.);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p.79–92, 2000. Dordrecht: Kluwer Academic Publishers.</w:t>
      </w:r>
    </w:p>
    <w:p w14:paraId="7AE20003"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D´AMBROSIO, U. </w:t>
      </w:r>
      <w:r w:rsidRPr="00643422">
        <w:rPr>
          <w:rFonts w:ascii="Times New Roman" w:eastAsia="Calibri" w:hAnsi="Times New Roman" w:cs="Times New Roman"/>
          <w:b/>
          <w:bCs/>
          <w:color w:val="000000" w:themeColor="text1"/>
        </w:rPr>
        <w:t>Ethnomathematics Link between Traditions and Modernity</w:t>
      </w:r>
      <w:r w:rsidRPr="00643422">
        <w:rPr>
          <w:rFonts w:ascii="Times New Roman" w:eastAsia="Calibri" w:hAnsi="Times New Roman" w:cs="Times New Roman"/>
          <w:color w:val="000000" w:themeColor="text1"/>
        </w:rPr>
        <w:t>. Rotterdam: Sense Publishers, 2006.</w:t>
      </w:r>
    </w:p>
    <w:p w14:paraId="4B276581"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D´AMBROSIO, U. Nonkilling Mathematics. </w:t>
      </w:r>
      <w:r w:rsidRPr="00643422">
        <w:rPr>
          <w:rFonts w:ascii="Times New Roman" w:eastAsia="Calibri" w:hAnsi="Times New Roman" w:cs="Times New Roman"/>
          <w:b/>
          <w:bCs/>
          <w:color w:val="000000" w:themeColor="text1"/>
        </w:rPr>
        <w:t>Political Science</w:t>
      </w:r>
      <w:r w:rsidRPr="00643422">
        <w:rPr>
          <w:rFonts w:ascii="Times New Roman" w:eastAsia="Calibri" w:hAnsi="Times New Roman" w:cs="Times New Roman"/>
          <w:color w:val="000000" w:themeColor="text1"/>
        </w:rPr>
        <w:t>, 2009.</w:t>
      </w:r>
    </w:p>
    <w:p w14:paraId="416DEDC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D’AMBROSIO, U. Literacy, Matheracy, and Technocracy: A Trivium for Today. </w:t>
      </w:r>
      <w:r w:rsidRPr="00643422">
        <w:rPr>
          <w:rFonts w:ascii="Times New Roman" w:eastAsia="Calibri" w:hAnsi="Times New Roman" w:cs="Times New Roman"/>
          <w:b/>
          <w:bCs/>
          <w:color w:val="000000" w:themeColor="text1"/>
        </w:rPr>
        <w:t>Mathematical Thinking and Learning</w:t>
      </w:r>
      <w:r w:rsidRPr="00643422">
        <w:rPr>
          <w:rFonts w:ascii="Times New Roman" w:eastAsia="Calibri" w:hAnsi="Times New Roman" w:cs="Times New Roman"/>
          <w:color w:val="000000" w:themeColor="text1"/>
        </w:rPr>
        <w:t>, v. 1, n. 2, p. 131–153, 1999. Routledge.</w:t>
      </w:r>
    </w:p>
    <w:p w14:paraId="314835C0"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DOMITE, M. DO C.; PAIS, A. S. Understanding ethnomathematics from its criticisms and contradictions. CERME 6. </w:t>
      </w:r>
      <w:r w:rsidRPr="00643422">
        <w:rPr>
          <w:rFonts w:ascii="Times New Roman" w:eastAsia="Calibri" w:hAnsi="Times New Roman" w:cs="Times New Roman"/>
          <w:b/>
          <w:bCs/>
          <w:color w:val="000000" w:themeColor="text1"/>
        </w:rPr>
        <w:t xml:space="preserve"> Anais....</w:t>
      </w:r>
      <w:r w:rsidRPr="00643422">
        <w:rPr>
          <w:rFonts w:ascii="Times New Roman" w:eastAsia="Calibri" w:hAnsi="Times New Roman" w:cs="Times New Roman"/>
          <w:color w:val="000000" w:themeColor="text1"/>
        </w:rPr>
        <w:t xml:space="preserve"> p.1473–1483, 2010. Lyon: INRP. Disponível em: &lt;Http://www.inrp.fr/editions/cerme6&gt;. .</w:t>
      </w:r>
    </w:p>
    <w:p w14:paraId="3A42D8A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DONALD, M. Material Culture and Cognition: Concluding Thoughts. </w:t>
      </w:r>
      <w:r w:rsidRPr="00643422">
        <w:rPr>
          <w:rFonts w:ascii="Times New Roman" w:eastAsia="Calibri" w:hAnsi="Times New Roman" w:cs="Times New Roman"/>
          <w:b/>
          <w:bCs/>
          <w:color w:val="000000" w:themeColor="text1"/>
        </w:rPr>
        <w:t>Cognition and Material Culture: the Archaeology of Symbolic Storage</w:t>
      </w:r>
      <w:r w:rsidRPr="00643422">
        <w:rPr>
          <w:rFonts w:ascii="Times New Roman" w:eastAsia="Calibri" w:hAnsi="Times New Roman" w:cs="Times New Roman"/>
          <w:color w:val="000000" w:themeColor="text1"/>
        </w:rPr>
        <w:t>, 1998. Cambridge: McDonald Institute for Archaeological Research.</w:t>
      </w:r>
    </w:p>
    <w:p w14:paraId="317E203D"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EGLASH, R. Recursion in Ethnomathematics. </w:t>
      </w:r>
      <w:r w:rsidRPr="00643422">
        <w:rPr>
          <w:rFonts w:ascii="Times New Roman" w:eastAsia="Calibri" w:hAnsi="Times New Roman" w:cs="Times New Roman"/>
          <w:b/>
          <w:bCs/>
          <w:color w:val="000000" w:themeColor="text1"/>
        </w:rPr>
        <w:t>American Anthropologist</w:t>
      </w:r>
      <w:r w:rsidRPr="00643422">
        <w:rPr>
          <w:rFonts w:ascii="Times New Roman" w:eastAsia="Calibri" w:hAnsi="Times New Roman" w:cs="Times New Roman"/>
          <w:color w:val="000000" w:themeColor="text1"/>
        </w:rPr>
        <w:t>, v. 99, n. 1, p. 112–122, 1997. Washington: American Anthropological Association.</w:t>
      </w:r>
    </w:p>
    <w:p w14:paraId="4EA7860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EGLASH, R. Anthropological Perspectives on Ethnomathematics.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p.13–22, 2000. Dordrecht: Kluwer Academic Publishers.</w:t>
      </w:r>
    </w:p>
    <w:p w14:paraId="0BCD610F"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GEERTZ, C. </w:t>
      </w:r>
      <w:r w:rsidRPr="00643422">
        <w:rPr>
          <w:rFonts w:ascii="Times New Roman" w:eastAsia="Calibri" w:hAnsi="Times New Roman" w:cs="Times New Roman"/>
          <w:b/>
          <w:bCs/>
          <w:color w:val="000000" w:themeColor="text1"/>
        </w:rPr>
        <w:t>The interpretation of Cultures</w:t>
      </w:r>
      <w:r w:rsidRPr="00643422">
        <w:rPr>
          <w:rFonts w:ascii="Times New Roman" w:eastAsia="Calibri" w:hAnsi="Times New Roman" w:cs="Times New Roman"/>
          <w:color w:val="000000" w:themeColor="text1"/>
        </w:rPr>
        <w:t>. New York: Basic Books, 1973.</w:t>
      </w:r>
    </w:p>
    <w:p w14:paraId="61113DDC"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GELL, A. </w:t>
      </w:r>
      <w:r w:rsidRPr="00643422">
        <w:rPr>
          <w:rFonts w:ascii="Times New Roman" w:eastAsia="Calibri" w:hAnsi="Times New Roman" w:cs="Times New Roman"/>
          <w:b/>
          <w:bCs/>
          <w:color w:val="000000" w:themeColor="text1"/>
        </w:rPr>
        <w:t>The Art of Anthropology Essays and Diagrams</w:t>
      </w:r>
      <w:r w:rsidRPr="00643422">
        <w:rPr>
          <w:rFonts w:ascii="Times New Roman" w:eastAsia="Calibri" w:hAnsi="Times New Roman" w:cs="Times New Roman"/>
          <w:color w:val="000000" w:themeColor="text1"/>
        </w:rPr>
        <w:t>. London: The Athlone, 1999.</w:t>
      </w:r>
    </w:p>
    <w:p w14:paraId="6D7F10B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On Mathematics in the History of Sub-Saharan Africa. </w:t>
      </w:r>
      <w:r w:rsidRPr="00643422">
        <w:rPr>
          <w:rFonts w:ascii="Times New Roman" w:eastAsia="Calibri" w:hAnsi="Times New Roman" w:cs="Times New Roman"/>
          <w:b/>
          <w:bCs/>
          <w:color w:val="000000" w:themeColor="text1"/>
        </w:rPr>
        <w:t>Historia Mathematica</w:t>
      </w:r>
      <w:r w:rsidRPr="00643422">
        <w:rPr>
          <w:rFonts w:ascii="Times New Roman" w:eastAsia="Calibri" w:hAnsi="Times New Roman" w:cs="Times New Roman"/>
          <w:color w:val="000000" w:themeColor="text1"/>
        </w:rPr>
        <w:t>, v. 21, p. 345–376, 1994. Academic Press.</w:t>
      </w:r>
    </w:p>
    <w:p w14:paraId="3EB1169F"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On Mathematical Ideas in Cultural Traditions of Central and Southern Africa. In: H. Selin (Ed.);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2000. Dordrecht: Springer Science+Business Media, B.V.</w:t>
      </w:r>
    </w:p>
    <w:p w14:paraId="2ABD9905"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w:t>
      </w:r>
      <w:r w:rsidRPr="00643422">
        <w:rPr>
          <w:rFonts w:ascii="Times New Roman" w:eastAsia="Calibri" w:hAnsi="Times New Roman" w:cs="Times New Roman"/>
          <w:b/>
          <w:bCs/>
          <w:color w:val="000000" w:themeColor="text1"/>
        </w:rPr>
        <w:t>Lunda Geometry</w:t>
      </w:r>
      <w:r w:rsidRPr="00643422">
        <w:rPr>
          <w:rFonts w:ascii="Times New Roman" w:eastAsia="Calibri" w:hAnsi="Times New Roman" w:cs="Times New Roman"/>
          <w:color w:val="000000" w:themeColor="text1"/>
        </w:rPr>
        <w:t>. Morrisville: Lulu Enterprises, 2007.</w:t>
      </w:r>
    </w:p>
    <w:p w14:paraId="46A424B1"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w:t>
      </w:r>
      <w:r w:rsidRPr="00643422">
        <w:rPr>
          <w:rFonts w:ascii="Times New Roman" w:eastAsia="Calibri" w:hAnsi="Times New Roman" w:cs="Times New Roman"/>
          <w:b/>
          <w:bCs/>
          <w:color w:val="000000" w:themeColor="text1"/>
        </w:rPr>
        <w:t>Lusona: Geometrical Recreations from Africa. Problems and Solutions</w:t>
      </w:r>
      <w:r w:rsidRPr="00643422">
        <w:rPr>
          <w:rFonts w:ascii="Times New Roman" w:eastAsia="Calibri" w:hAnsi="Times New Roman" w:cs="Times New Roman"/>
          <w:color w:val="000000" w:themeColor="text1"/>
        </w:rPr>
        <w:t>. Boane: ISTEG-University, 2012a.</w:t>
      </w:r>
    </w:p>
    <w:p w14:paraId="222065E8"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w:t>
      </w:r>
      <w:r w:rsidRPr="00643422">
        <w:rPr>
          <w:rFonts w:ascii="Times New Roman" w:eastAsia="Calibri" w:hAnsi="Times New Roman" w:cs="Times New Roman"/>
          <w:b/>
          <w:bCs/>
          <w:color w:val="000000" w:themeColor="text1"/>
        </w:rPr>
        <w:t>Drawings from Angola</w:t>
      </w:r>
      <w:r w:rsidRPr="00643422">
        <w:rPr>
          <w:rFonts w:ascii="Times New Roman" w:eastAsia="Calibri" w:hAnsi="Times New Roman" w:cs="Times New Roman"/>
          <w:color w:val="000000" w:themeColor="text1"/>
        </w:rPr>
        <w:t>. Maputo: Research Centre for Mathematics, Culture and Education, 2012b.</w:t>
      </w:r>
    </w:p>
    <w:p w14:paraId="4FF23352"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GERDES, P. </w:t>
      </w:r>
      <w:r w:rsidRPr="00643422">
        <w:rPr>
          <w:rFonts w:ascii="Times New Roman" w:eastAsia="Calibri" w:hAnsi="Times New Roman" w:cs="Times New Roman"/>
          <w:b/>
          <w:bCs/>
          <w:color w:val="000000" w:themeColor="text1"/>
        </w:rPr>
        <w:t>Ethnomathematics and Education in Africa</w:t>
      </w:r>
      <w:r w:rsidRPr="00643422">
        <w:rPr>
          <w:rFonts w:ascii="Times New Roman" w:eastAsia="Calibri" w:hAnsi="Times New Roman" w:cs="Times New Roman"/>
          <w:color w:val="000000" w:themeColor="text1"/>
        </w:rPr>
        <w:t>. Boane: Instituto Superior de Tecnologias e Gestão (ISTEG) (Higher, 2014.</w:t>
      </w:r>
    </w:p>
    <w:p w14:paraId="19A7B9EB"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GINSBURG, H. P. The Myth of the Deprived Child: New Thoughts on Poor Children. </w:t>
      </w:r>
      <w:r w:rsidRPr="00643422">
        <w:rPr>
          <w:rFonts w:ascii="Times New Roman" w:eastAsia="Calibri" w:hAnsi="Times New Roman" w:cs="Times New Roman"/>
          <w:b/>
          <w:bCs/>
          <w:color w:val="000000" w:themeColor="text1"/>
        </w:rPr>
        <w:t>Ethnomathematics Challenging Eurocentrism in Mathematics Education</w:t>
      </w:r>
      <w:r w:rsidRPr="00643422">
        <w:rPr>
          <w:rFonts w:ascii="Times New Roman" w:eastAsia="Calibri" w:hAnsi="Times New Roman" w:cs="Times New Roman"/>
          <w:color w:val="000000" w:themeColor="text1"/>
        </w:rPr>
        <w:t>. p.129–154, 1997. New York: State University of New York Press.</w:t>
      </w:r>
    </w:p>
    <w:p w14:paraId="529419C7"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HAUSER, M. D.; CHOMSKY, N.; FITCH, W. T. The faculty of language: what is it, who has it, and how did it evolve? </w:t>
      </w:r>
      <w:r w:rsidRPr="00643422">
        <w:rPr>
          <w:rFonts w:ascii="Times New Roman" w:eastAsia="Calibri" w:hAnsi="Times New Roman" w:cs="Times New Roman"/>
          <w:b/>
          <w:bCs/>
          <w:color w:val="000000" w:themeColor="text1"/>
        </w:rPr>
        <w:t>Science (New York, N.Y.)</w:t>
      </w:r>
      <w:r w:rsidRPr="00643422">
        <w:rPr>
          <w:rFonts w:ascii="Times New Roman" w:eastAsia="Calibri" w:hAnsi="Times New Roman" w:cs="Times New Roman"/>
          <w:color w:val="000000" w:themeColor="text1"/>
        </w:rPr>
        <w:t>, v. 298, n. 5598, p. 1569–1579, 2002. Disponível em: &lt;http://www.ncbi.nlm.nih.gov/pubmed/12446899&gt;. Acesso em: 17/7/2012.</w:t>
      </w:r>
    </w:p>
    <w:p w14:paraId="16ADC3FB"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INGOLD, T. </w:t>
      </w:r>
      <w:r w:rsidRPr="00643422">
        <w:rPr>
          <w:rFonts w:ascii="Times New Roman" w:eastAsia="Calibri" w:hAnsi="Times New Roman" w:cs="Times New Roman"/>
          <w:b/>
          <w:bCs/>
          <w:color w:val="000000" w:themeColor="text1"/>
        </w:rPr>
        <w:t>What is an Animal?</w:t>
      </w:r>
      <w:r w:rsidRPr="00643422">
        <w:rPr>
          <w:rFonts w:ascii="Times New Roman" w:eastAsia="Calibri" w:hAnsi="Times New Roman" w:cs="Times New Roman"/>
          <w:color w:val="000000" w:themeColor="text1"/>
        </w:rPr>
        <w:t xml:space="preserve"> New York: Routledge, 1996.</w:t>
      </w:r>
    </w:p>
    <w:p w14:paraId="2344421C"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JABLONKA, E.; WAGNER, D.; WALSHAW, M. Theories for Studying Social, Political and Cultural Dimensions of Mathematics Education. In: M. A. (Ken) Clements; A. J. Bishop; C. Keitel; J. Kilpatrick; F. K. S. Leung (Eds.); </w:t>
      </w:r>
      <w:r w:rsidRPr="00643422">
        <w:rPr>
          <w:rFonts w:ascii="Times New Roman" w:eastAsia="Calibri" w:hAnsi="Times New Roman" w:cs="Times New Roman"/>
          <w:b/>
          <w:bCs/>
          <w:color w:val="000000" w:themeColor="text1"/>
        </w:rPr>
        <w:t>Third International Handbook of Mathematics Education</w:t>
      </w:r>
      <w:r w:rsidRPr="00643422">
        <w:rPr>
          <w:rFonts w:ascii="Times New Roman" w:eastAsia="Calibri" w:hAnsi="Times New Roman" w:cs="Times New Roman"/>
          <w:color w:val="000000" w:themeColor="text1"/>
        </w:rPr>
        <w:t>. p.41–68, 2013. Amsterdam: Springer.</w:t>
      </w:r>
    </w:p>
    <w:p w14:paraId="0CA9026B"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JAMES, W. Human worlds are culturally constructed. In: T. Ingold (Ed.); </w:t>
      </w:r>
      <w:r w:rsidRPr="00643422">
        <w:rPr>
          <w:rFonts w:ascii="Times New Roman" w:eastAsia="Calibri" w:hAnsi="Times New Roman" w:cs="Times New Roman"/>
          <w:b/>
          <w:bCs/>
          <w:color w:val="000000" w:themeColor="text1"/>
        </w:rPr>
        <w:t>Key Debates in Anthropology</w:t>
      </w:r>
      <w:r w:rsidRPr="00643422">
        <w:rPr>
          <w:rFonts w:ascii="Times New Roman" w:eastAsia="Calibri" w:hAnsi="Times New Roman" w:cs="Times New Roman"/>
          <w:color w:val="000000" w:themeColor="text1"/>
        </w:rPr>
        <w:t>. p.97–92, 1996. London: Routledge.</w:t>
      </w:r>
    </w:p>
    <w:p w14:paraId="4ACE78F8"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JOSEPH, G. G. </w:t>
      </w:r>
      <w:r w:rsidRPr="00643422">
        <w:rPr>
          <w:rFonts w:ascii="Times New Roman" w:eastAsia="Calibri" w:hAnsi="Times New Roman" w:cs="Times New Roman"/>
          <w:b/>
          <w:bCs/>
          <w:color w:val="000000" w:themeColor="text1"/>
        </w:rPr>
        <w:t>The Crest of the Peacock - Non European Roots of Mathematics</w:t>
      </w:r>
      <w:r w:rsidRPr="00643422">
        <w:rPr>
          <w:rFonts w:ascii="Times New Roman" w:eastAsia="Calibri" w:hAnsi="Times New Roman" w:cs="Times New Roman"/>
          <w:color w:val="000000" w:themeColor="text1"/>
        </w:rPr>
        <w:t>. Princeton: Princeton University Press, 2011.</w:t>
      </w:r>
    </w:p>
    <w:p w14:paraId="6E03A17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KAY, P.; BERLIN, B.; MAFFI, L.; MERRIFIELD, W. Color naming across languages. </w:t>
      </w:r>
      <w:r w:rsidRPr="00643422">
        <w:rPr>
          <w:rFonts w:ascii="Times New Roman" w:eastAsia="Calibri" w:hAnsi="Times New Roman" w:cs="Times New Roman"/>
          <w:b/>
          <w:bCs/>
          <w:color w:val="000000" w:themeColor="text1"/>
        </w:rPr>
        <w:t>Color categories in thought and language</w:t>
      </w:r>
      <w:r w:rsidRPr="00643422">
        <w:rPr>
          <w:rFonts w:ascii="Times New Roman" w:eastAsia="Calibri" w:hAnsi="Times New Roman" w:cs="Times New Roman"/>
          <w:color w:val="000000" w:themeColor="text1"/>
        </w:rPr>
        <w:t>. p.21–58, 1997. Cambridge: Cambridge University Press.</w:t>
      </w:r>
    </w:p>
    <w:p w14:paraId="1C56A7EE"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LUIS RADFORD. Early Algebraic Thinking: Epistemological, Semiotic, and Developmental Issues. In: S. J. Cho (Ed.); </w:t>
      </w:r>
      <w:r w:rsidRPr="00643422">
        <w:rPr>
          <w:rFonts w:ascii="Times New Roman" w:eastAsia="Calibri" w:hAnsi="Times New Roman" w:cs="Times New Roman"/>
          <w:b/>
          <w:bCs/>
          <w:color w:val="000000" w:themeColor="text1"/>
        </w:rPr>
        <w:t>The Proceedings of the 12th International Congress on Mathematical Education</w:t>
      </w:r>
      <w:r w:rsidRPr="00643422">
        <w:rPr>
          <w:rFonts w:ascii="Times New Roman" w:eastAsia="Calibri" w:hAnsi="Times New Roman" w:cs="Times New Roman"/>
          <w:color w:val="000000" w:themeColor="text1"/>
        </w:rPr>
        <w:t>. p.209–228, 2015. Dordrecht: Springer Open.</w:t>
      </w:r>
    </w:p>
    <w:p w14:paraId="43750A6F"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MARIA, A.; SCIULLO, D.; PIATTELLI-PALMARINI, M.; et al. The Biological Nature of Human Language. </w:t>
      </w:r>
      <w:r w:rsidRPr="00643422">
        <w:rPr>
          <w:rFonts w:ascii="Times New Roman" w:eastAsia="Calibri" w:hAnsi="Times New Roman" w:cs="Times New Roman"/>
          <w:b/>
          <w:bCs/>
          <w:color w:val="000000" w:themeColor="text1"/>
        </w:rPr>
        <w:t>Biolinguistics</w:t>
      </w:r>
      <w:r w:rsidRPr="00643422">
        <w:rPr>
          <w:rFonts w:ascii="Times New Roman" w:eastAsia="Calibri" w:hAnsi="Times New Roman" w:cs="Times New Roman"/>
          <w:color w:val="000000" w:themeColor="text1"/>
        </w:rPr>
        <w:t>, v. 4, n. 1, 2009. UNiversity of Arizona. Disponível em: &lt;dingo.sbs.arizona.edu/~massimo/.../PDF/DiSciullo2010BL.pdf&gt;. .</w:t>
      </w:r>
    </w:p>
    <w:p w14:paraId="2CE20720"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PAIS, A. Criticisms and contradictions of ethnomathematics. </w:t>
      </w:r>
      <w:r w:rsidRPr="00643422">
        <w:rPr>
          <w:rFonts w:ascii="Times New Roman" w:eastAsia="Calibri" w:hAnsi="Times New Roman" w:cs="Times New Roman"/>
          <w:b/>
          <w:bCs/>
          <w:color w:val="000000" w:themeColor="text1"/>
        </w:rPr>
        <w:t>Educational Studies in Mathematics</w:t>
      </w:r>
      <w:r w:rsidRPr="00643422">
        <w:rPr>
          <w:rFonts w:ascii="Times New Roman" w:eastAsia="Calibri" w:hAnsi="Times New Roman" w:cs="Times New Roman"/>
          <w:color w:val="000000" w:themeColor="text1"/>
        </w:rPr>
        <w:t>, n. December 2010, p. 209–230, 2011. Berlin: Springer Netherlands.</w:t>
      </w:r>
    </w:p>
    <w:p w14:paraId="76382C6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PAIS, A. Ethnomathematics and the limits of culture. </w:t>
      </w:r>
      <w:r w:rsidRPr="00643422">
        <w:rPr>
          <w:rFonts w:ascii="Times New Roman" w:eastAsia="Calibri" w:hAnsi="Times New Roman" w:cs="Times New Roman"/>
          <w:b/>
          <w:bCs/>
          <w:color w:val="000000" w:themeColor="text1"/>
        </w:rPr>
        <w:t>For the learning of mathematics</w:t>
      </w:r>
      <w:r w:rsidRPr="00643422">
        <w:rPr>
          <w:rFonts w:ascii="Times New Roman" w:eastAsia="Calibri" w:hAnsi="Times New Roman" w:cs="Times New Roman"/>
          <w:color w:val="000000" w:themeColor="text1"/>
        </w:rPr>
        <w:t>, v. 33, n. 3, p. 2–6, 2013. Fredericton: FLM Publishing Association.</w:t>
      </w:r>
    </w:p>
    <w:p w14:paraId="640CDDE2"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PIMM, D. Discourse analysis and mathematics education: An anniversary of sorts. </w:t>
      </w:r>
      <w:r w:rsidRPr="00643422">
        <w:rPr>
          <w:rFonts w:ascii="Times New Roman" w:eastAsia="Calibri" w:hAnsi="Times New Roman" w:cs="Times New Roman"/>
          <w:b/>
          <w:bCs/>
          <w:color w:val="000000" w:themeColor="text1"/>
        </w:rPr>
        <w:t>Educational Studies in Mathematics</w:t>
      </w:r>
      <w:r w:rsidRPr="00643422">
        <w:rPr>
          <w:rFonts w:ascii="Times New Roman" w:eastAsia="Calibri" w:hAnsi="Times New Roman" w:cs="Times New Roman"/>
          <w:color w:val="000000" w:themeColor="text1"/>
        </w:rPr>
        <w:t>, p. 1–11, 2004.</w:t>
      </w:r>
    </w:p>
    <w:p w14:paraId="5CA91F3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PIMM, D. Sixty Years (or so) of Language Data in Mathematics Education BT. In: J. N. Moschkovich; D. Wagner; A. Bose; J. Rodrigues Mendes; M. Schütte (Eds.); </w:t>
      </w:r>
      <w:r w:rsidRPr="00643422">
        <w:rPr>
          <w:rFonts w:ascii="Times New Roman" w:eastAsia="Calibri" w:hAnsi="Times New Roman" w:cs="Times New Roman"/>
          <w:b/>
          <w:bCs/>
          <w:color w:val="000000" w:themeColor="text1"/>
        </w:rPr>
        <w:t>Language and Communication in Mathematics Education: International Perspectives</w:t>
      </w:r>
      <w:r w:rsidRPr="00643422">
        <w:rPr>
          <w:rFonts w:ascii="Times New Roman" w:eastAsia="Calibri" w:hAnsi="Times New Roman" w:cs="Times New Roman"/>
          <w:color w:val="000000" w:themeColor="text1"/>
        </w:rPr>
        <w:t>. p.11–23, 2018. Cham: Springer International Publishing. Disponível em: &lt;https://doi.org/10.1007/978-3-319-75055-2_2&gt;. .</w:t>
      </w:r>
    </w:p>
    <w:p w14:paraId="5F1F3AF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POWELL, A. B. Socially emergent cognition: interactions mathematical problem solving. </w:t>
      </w:r>
      <w:r w:rsidRPr="00643422">
        <w:rPr>
          <w:rFonts w:ascii="Times New Roman" w:eastAsia="Calibri" w:hAnsi="Times New Roman" w:cs="Times New Roman"/>
          <w:b/>
          <w:bCs/>
          <w:color w:val="000000" w:themeColor="text1"/>
        </w:rPr>
        <w:t>Discourse</w:t>
      </w:r>
      <w:r w:rsidRPr="00643422">
        <w:rPr>
          <w:rFonts w:ascii="Times New Roman" w:eastAsia="Calibri" w:hAnsi="Times New Roman" w:cs="Times New Roman"/>
          <w:color w:val="000000" w:themeColor="text1"/>
        </w:rPr>
        <w:t>, 1998. Belo Horizonte.</w:t>
      </w:r>
    </w:p>
    <w:p w14:paraId="4C2652ED"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POWELL, A. B. Mediational activities in a dynamic geometry environment and teachers’ specialized content knowledge. </w:t>
      </w:r>
      <w:r w:rsidRPr="00643422">
        <w:rPr>
          <w:rFonts w:ascii="Times New Roman" w:eastAsia="Calibri" w:hAnsi="Times New Roman" w:cs="Times New Roman"/>
          <w:b/>
          <w:bCs/>
          <w:color w:val="000000" w:themeColor="text1"/>
        </w:rPr>
        <w:t>Journal of Mathematical Behavior</w:t>
      </w:r>
      <w:r w:rsidRPr="00643422">
        <w:rPr>
          <w:rFonts w:ascii="Times New Roman" w:eastAsia="Calibri" w:hAnsi="Times New Roman" w:cs="Times New Roman"/>
          <w:color w:val="000000" w:themeColor="text1"/>
        </w:rPr>
        <w:t>, v. 48, n. January 2018, p. 77–94, 2017. Elsevier. Disponível em: &lt;http://dx.doi.org/10.1016/j.jmathb.2017.08.004&gt;. .</w:t>
      </w:r>
    </w:p>
    <w:p w14:paraId="75481A3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POWELL, A. B. Supporting Students’ Productive Collaboration and Mathematics Learning in Online Environments. </w:t>
      </w:r>
      <w:r w:rsidRPr="00643422">
        <w:rPr>
          <w:rFonts w:ascii="Times New Roman" w:eastAsia="Calibri" w:hAnsi="Times New Roman" w:cs="Times New Roman"/>
          <w:b/>
          <w:bCs/>
          <w:color w:val="000000" w:themeColor="text1"/>
        </w:rPr>
        <w:t>STEM Education in the Junior Secondary</w:t>
      </w:r>
      <w:r w:rsidRPr="00643422">
        <w:rPr>
          <w:rFonts w:ascii="Times New Roman" w:eastAsia="Calibri" w:hAnsi="Times New Roman" w:cs="Times New Roman"/>
          <w:color w:val="000000" w:themeColor="text1"/>
        </w:rPr>
        <w:t>, n. October 2017, 2018. New Jersey: Springer.</w:t>
      </w:r>
    </w:p>
    <w:p w14:paraId="6A22EB86"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POWELL, A. B.; BAIRRAL, M. A escrita e o pensamento matemático: interações e potencialidades. </w:t>
      </w:r>
      <w:r w:rsidRPr="00643422">
        <w:rPr>
          <w:rFonts w:ascii="Times New Roman" w:eastAsia="Calibri" w:hAnsi="Times New Roman" w:cs="Times New Roman"/>
          <w:b/>
          <w:bCs/>
          <w:color w:val="000000" w:themeColor="text1"/>
        </w:rPr>
        <w:t>Perspectivas em Educação Matemática</w:t>
      </w:r>
      <w:r w:rsidRPr="00643422">
        <w:rPr>
          <w:rFonts w:ascii="Times New Roman" w:eastAsia="Calibri" w:hAnsi="Times New Roman" w:cs="Times New Roman"/>
          <w:color w:val="000000" w:themeColor="text1"/>
        </w:rPr>
        <w:t>, 2006. Campinas: Papirus.</w:t>
      </w:r>
    </w:p>
    <w:p w14:paraId="58B26665"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POWELL, A. B.; FRANKENSTEIN, M. </w:t>
      </w:r>
      <w:r w:rsidRPr="00643422">
        <w:rPr>
          <w:rFonts w:ascii="Times New Roman" w:eastAsia="Calibri" w:hAnsi="Times New Roman" w:cs="Times New Roman"/>
          <w:b/>
          <w:bCs/>
          <w:color w:val="000000" w:themeColor="text1"/>
        </w:rPr>
        <w:t>Ethnomathematics Challenging Eurocentrism in Mathematics Education</w:t>
      </w:r>
      <w:r w:rsidRPr="00643422">
        <w:rPr>
          <w:rFonts w:ascii="Times New Roman" w:eastAsia="Calibri" w:hAnsi="Times New Roman" w:cs="Times New Roman"/>
          <w:color w:val="000000" w:themeColor="text1"/>
        </w:rPr>
        <w:t>. New York: State University of New York Press, 1997.</w:t>
      </w:r>
    </w:p>
    <w:p w14:paraId="4F0F0E0D"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SAMPAIO, E.; IRIARTI, M. A.; ANDRADE, M.; et al. Saeb 2001 Novas Perspectivas, p. 1–106, 2002.</w:t>
      </w:r>
    </w:p>
    <w:p w14:paraId="0F9AEF01"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SAPIR, E. Language. An Introduction to the Study of Speech. </w:t>
      </w:r>
      <w:r w:rsidRPr="00643422">
        <w:rPr>
          <w:rFonts w:ascii="Times New Roman" w:eastAsia="Calibri" w:hAnsi="Times New Roman" w:cs="Times New Roman"/>
          <w:b/>
          <w:bCs/>
          <w:color w:val="000000" w:themeColor="text1"/>
        </w:rPr>
        <w:t>The Modern Language Review</w:t>
      </w:r>
      <w:r w:rsidRPr="00643422">
        <w:rPr>
          <w:rFonts w:ascii="Times New Roman" w:eastAsia="Calibri" w:hAnsi="Times New Roman" w:cs="Times New Roman"/>
          <w:color w:val="000000" w:themeColor="text1"/>
        </w:rPr>
        <w:t>, v. 19, n. 2, p. 253, 1924. New York: Harc. Disponível em: &lt;http://links.jstor.org/sici?sici=0026-7937(192404)19:2&lt;253:LAITTS&gt;2.0.CO;2-D&amp;origin=crossref&gt;. .</w:t>
      </w:r>
    </w:p>
    <w:p w14:paraId="45CFAA84"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SELIN, H. (ED.). </w:t>
      </w:r>
      <w:r w:rsidRPr="00643422">
        <w:rPr>
          <w:rFonts w:ascii="Times New Roman" w:eastAsia="Calibri" w:hAnsi="Times New Roman" w:cs="Times New Roman"/>
          <w:b/>
          <w:bCs/>
          <w:color w:val="000000" w:themeColor="text1"/>
        </w:rPr>
        <w:t>Mathematics Across Cultures</w:t>
      </w:r>
      <w:r w:rsidRPr="00643422">
        <w:rPr>
          <w:rFonts w:ascii="Times New Roman" w:eastAsia="Calibri" w:hAnsi="Times New Roman" w:cs="Times New Roman"/>
          <w:color w:val="000000" w:themeColor="text1"/>
        </w:rPr>
        <w:t>. Dordrecht: Kluwer Academic Publishers, 2000.</w:t>
      </w:r>
    </w:p>
    <w:p w14:paraId="4ACD69C9"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SIGAUT, F. Technology. In: T. Ingold (Ed.); </w:t>
      </w:r>
      <w:r w:rsidRPr="00643422">
        <w:rPr>
          <w:rFonts w:ascii="Times New Roman" w:eastAsia="Calibri" w:hAnsi="Times New Roman" w:cs="Times New Roman"/>
          <w:b/>
          <w:bCs/>
          <w:color w:val="000000" w:themeColor="text1"/>
        </w:rPr>
        <w:t>Companion Encyclopedia of Anhtropology</w:t>
      </w:r>
      <w:r w:rsidRPr="00643422">
        <w:rPr>
          <w:rFonts w:ascii="Times New Roman" w:eastAsia="Calibri" w:hAnsi="Times New Roman" w:cs="Times New Roman"/>
          <w:color w:val="000000" w:themeColor="text1"/>
        </w:rPr>
        <w:t>. p.420–459, 1994. New York: Routledge.</w:t>
      </w:r>
    </w:p>
    <w:p w14:paraId="45602A12"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SKOVSMOSE, O. (Ethno) mathematics as discourse (Etno) matemática como discurso. </w:t>
      </w:r>
      <w:r w:rsidRPr="00643422">
        <w:rPr>
          <w:rFonts w:ascii="Times New Roman" w:eastAsia="Calibri" w:hAnsi="Times New Roman" w:cs="Times New Roman"/>
          <w:b/>
          <w:bCs/>
          <w:color w:val="000000" w:themeColor="text1"/>
        </w:rPr>
        <w:t>BOLEMA – Mathematics Education Bulletin</w:t>
      </w:r>
      <w:r w:rsidRPr="00643422">
        <w:rPr>
          <w:rFonts w:ascii="Times New Roman" w:eastAsia="Calibri" w:hAnsi="Times New Roman" w:cs="Times New Roman"/>
          <w:color w:val="000000" w:themeColor="text1"/>
        </w:rPr>
        <w:t>, v. 02, p. 18–37, 1980. Rio Claro: UNESP.</w:t>
      </w:r>
    </w:p>
    <w:p w14:paraId="153ADD84"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TEDRE, M.; KOMMERS, P.; SUTINEN, E. Ethnocomputing. A Multicultural View on Computer Science. </w:t>
      </w:r>
      <w:r w:rsidRPr="00643422">
        <w:rPr>
          <w:rFonts w:ascii="Times New Roman" w:eastAsia="Calibri" w:hAnsi="Times New Roman" w:cs="Times New Roman"/>
          <w:b/>
          <w:bCs/>
          <w:color w:val="000000" w:themeColor="text1"/>
        </w:rPr>
        <w:t>IEEE conference ICALT 2002, Russia, September</w:t>
      </w:r>
      <w:r w:rsidRPr="00643422">
        <w:rPr>
          <w:rFonts w:ascii="Times New Roman" w:eastAsia="Calibri" w:hAnsi="Times New Roman" w:cs="Times New Roman"/>
          <w:color w:val="000000" w:themeColor="text1"/>
        </w:rPr>
        <w:t>, v. 9, p. 1–5, 2002.</w:t>
      </w:r>
    </w:p>
    <w:p w14:paraId="0E50D6CA"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TUN, M. A. </w:t>
      </w:r>
      <w:r w:rsidRPr="00643422">
        <w:rPr>
          <w:rFonts w:ascii="Times New Roman" w:eastAsia="Calibri" w:hAnsi="Times New Roman" w:cs="Times New Roman"/>
          <w:b/>
          <w:bCs/>
          <w:color w:val="000000" w:themeColor="text1"/>
        </w:rPr>
        <w:t>El quipu: escritura andina en las redes informáticas incaicas y coloniales</w:t>
      </w:r>
      <w:r w:rsidRPr="00643422">
        <w:rPr>
          <w:rFonts w:ascii="Times New Roman" w:eastAsia="Calibri" w:hAnsi="Times New Roman" w:cs="Times New Roman"/>
          <w:color w:val="000000" w:themeColor="text1"/>
        </w:rPr>
        <w:t>, 2015. University of Minnesota.</w:t>
      </w:r>
    </w:p>
    <w:p w14:paraId="4E4CC1F3"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TURNBULL, D. Rationality and the Disunity of the Sciences. In: H. Selin (Ed.);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2000. Dordrecht: Springer Science+Business Media, B.V.</w:t>
      </w:r>
    </w:p>
    <w:p w14:paraId="71B95473"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URBAN, G. A Discourse-Centered Approach to Culture An Approach to Culture. In: M. Siverstein; G. Urban (Eds.); </w:t>
      </w:r>
      <w:r w:rsidRPr="00643422">
        <w:rPr>
          <w:rFonts w:ascii="Times New Roman" w:eastAsia="Calibri" w:hAnsi="Times New Roman" w:cs="Times New Roman"/>
          <w:b/>
          <w:bCs/>
          <w:color w:val="000000" w:themeColor="text1"/>
        </w:rPr>
        <w:t>Natural Histories of Discourse</w:t>
      </w:r>
      <w:r w:rsidRPr="00643422">
        <w:rPr>
          <w:rFonts w:ascii="Times New Roman" w:eastAsia="Calibri" w:hAnsi="Times New Roman" w:cs="Times New Roman"/>
          <w:color w:val="000000" w:themeColor="text1"/>
        </w:rPr>
        <w:t>, 1996. University of Chicago Press.</w:t>
      </w:r>
    </w:p>
    <w:p w14:paraId="6DE9C36D"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VERRAN, H. Logics and Mathematics: Challenges Arising in Working across Cultures.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2000. Dordrecht: Springer Science+Business Media, B.V.</w:t>
      </w:r>
    </w:p>
    <w:p w14:paraId="3BFB0BFB"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VITHAL, R.; SKOVSMOSE, O. The end of innocence: a critique of “ethnomathematics.” </w:t>
      </w:r>
      <w:r w:rsidRPr="00643422">
        <w:rPr>
          <w:rFonts w:ascii="Times New Roman" w:eastAsia="Calibri" w:hAnsi="Times New Roman" w:cs="Times New Roman"/>
          <w:b/>
          <w:bCs/>
          <w:color w:val="000000" w:themeColor="text1"/>
        </w:rPr>
        <w:t>Educational Studies in Mathematics</w:t>
      </w:r>
      <w:r w:rsidRPr="00643422">
        <w:rPr>
          <w:rFonts w:ascii="Times New Roman" w:eastAsia="Calibri" w:hAnsi="Times New Roman" w:cs="Times New Roman"/>
          <w:color w:val="000000" w:themeColor="text1"/>
        </w:rPr>
        <w:t>, v. 34, p. 131–158, 1997. Kluwer Academic Publishers.</w:t>
      </w:r>
    </w:p>
    <w:p w14:paraId="29077EDE"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WILDER, R. L. </w:t>
      </w:r>
      <w:r w:rsidRPr="00643422">
        <w:rPr>
          <w:rFonts w:ascii="Times New Roman" w:eastAsia="Calibri" w:hAnsi="Times New Roman" w:cs="Times New Roman"/>
          <w:b/>
          <w:bCs/>
          <w:color w:val="000000" w:themeColor="text1"/>
        </w:rPr>
        <w:t>Mathematics As a Cultural System</w:t>
      </w:r>
      <w:r w:rsidRPr="00643422">
        <w:rPr>
          <w:rFonts w:ascii="Times New Roman" w:eastAsia="Calibri" w:hAnsi="Times New Roman" w:cs="Times New Roman"/>
          <w:color w:val="000000" w:themeColor="text1"/>
        </w:rPr>
        <w:t>. Oxford: Pergamon Press, 1981.</w:t>
      </w:r>
    </w:p>
    <w:p w14:paraId="1F9AC698" w14:textId="77777777" w:rsidR="00F67353" w:rsidRPr="00643422" w:rsidRDefault="00F67353" w:rsidP="00F67353">
      <w:pPr>
        <w:widowControl w:val="0"/>
        <w:autoSpaceDE w:val="0"/>
        <w:autoSpaceDN w:val="0"/>
        <w:adjustRightInd w:val="0"/>
        <w:spacing w:after="140" w:line="288" w:lineRule="auto"/>
        <w:jc w:val="both"/>
        <w:rPr>
          <w:rFonts w:ascii="Times New Roman" w:eastAsia="Calibri" w:hAnsi="Times New Roman" w:cs="Times New Roman"/>
          <w:color w:val="000000" w:themeColor="text1"/>
        </w:rPr>
      </w:pPr>
      <w:r w:rsidRPr="00643422">
        <w:rPr>
          <w:rFonts w:ascii="Times New Roman" w:eastAsia="Calibri" w:hAnsi="Times New Roman" w:cs="Times New Roman"/>
          <w:color w:val="000000" w:themeColor="text1"/>
        </w:rPr>
        <w:t xml:space="preserve">WOOD, L. N. Communicating mathematics across culture and time. In: H. Selin (Ed.); </w:t>
      </w:r>
      <w:r w:rsidRPr="00643422">
        <w:rPr>
          <w:rFonts w:ascii="Times New Roman" w:eastAsia="Calibri" w:hAnsi="Times New Roman" w:cs="Times New Roman"/>
          <w:b/>
          <w:bCs/>
          <w:color w:val="000000" w:themeColor="text1"/>
        </w:rPr>
        <w:t>Mathematics Across Cultures: The History of Non-Western Mathematics</w:t>
      </w:r>
      <w:r w:rsidRPr="00643422">
        <w:rPr>
          <w:rFonts w:ascii="Times New Roman" w:eastAsia="Calibri" w:hAnsi="Times New Roman" w:cs="Times New Roman"/>
          <w:color w:val="000000" w:themeColor="text1"/>
        </w:rPr>
        <w:t>. p.1–12, 2000. Dordrecht: Kluwer Academic Publishers.</w:t>
      </w:r>
    </w:p>
    <w:p w14:paraId="7ECDA2B9" w14:textId="745C9EFE" w:rsidR="00B62EAF" w:rsidRPr="00643422" w:rsidRDefault="00F67353" w:rsidP="00875F61">
      <w:pPr>
        <w:widowControl w:val="0"/>
        <w:autoSpaceDE w:val="0"/>
        <w:autoSpaceDN w:val="0"/>
        <w:adjustRightInd w:val="0"/>
        <w:spacing w:after="140" w:line="288" w:lineRule="auto"/>
        <w:jc w:val="both"/>
        <w:rPr>
          <w:rFonts w:ascii="Times New Roman" w:hAnsi="Times New Roman" w:cs="Times New Roman"/>
          <w:b/>
          <w:color w:val="000000" w:themeColor="text1"/>
        </w:rPr>
      </w:pPr>
      <w:r w:rsidRPr="00643422">
        <w:rPr>
          <w:rFonts w:ascii="Times New Roman" w:eastAsia="Calibri" w:hAnsi="Times New Roman" w:cs="Times New Roman"/>
          <w:color w:val="000000" w:themeColor="text1"/>
        </w:rPr>
        <w:t xml:space="preserve">ZASLAVSKY, C. </w:t>
      </w:r>
      <w:r w:rsidRPr="00643422">
        <w:rPr>
          <w:rFonts w:ascii="Times New Roman" w:eastAsia="Calibri" w:hAnsi="Times New Roman" w:cs="Times New Roman"/>
          <w:b/>
          <w:bCs/>
          <w:color w:val="000000" w:themeColor="text1"/>
        </w:rPr>
        <w:t>More math games and activities from around the world</w:t>
      </w:r>
      <w:r w:rsidRPr="00643422">
        <w:rPr>
          <w:rFonts w:ascii="Times New Roman" w:eastAsia="Calibri" w:hAnsi="Times New Roman" w:cs="Times New Roman"/>
          <w:color w:val="000000" w:themeColor="text1"/>
        </w:rPr>
        <w:t>. Illinois: Chicago Review Press, 2003.</w:t>
      </w:r>
    </w:p>
    <w:sectPr w:rsidR="00B62EAF" w:rsidRPr="00643422" w:rsidSect="00695708">
      <w:footerReference w:type="default" r:id="rId8"/>
      <w:headerReference w:type="first" r:id="rId9"/>
      <w:pgSz w:w="11900" w:h="16840"/>
      <w:pgMar w:top="1701" w:right="1418" w:bottom="1418"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CC4602" w14:textId="77777777" w:rsidR="004C0CB5" w:rsidRDefault="004C0CB5" w:rsidP="008914B3">
      <w:r>
        <w:separator/>
      </w:r>
    </w:p>
  </w:endnote>
  <w:endnote w:type="continuationSeparator" w:id="0">
    <w:p w14:paraId="4C367DFC" w14:textId="77777777" w:rsidR="004C0CB5" w:rsidRDefault="004C0CB5" w:rsidP="00891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panose1 w:val="00000000000000000000"/>
    <w:charset w:val="00"/>
    <w:family w:val="auto"/>
    <w:pitch w:val="variable"/>
    <w:sig w:usb0="A1002AE7" w:usb1="C0000063" w:usb2="00000038" w:usb3="00000000" w:csb0="000000B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thinThickSmallGap" w:sz="18"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733"/>
    </w:tblGrid>
    <w:tr w:rsidR="00B02186" w:rsidRPr="00695708" w14:paraId="30215DED" w14:textId="77777777" w:rsidTr="009749DD">
      <w:trPr>
        <w:trHeight w:val="283"/>
      </w:trPr>
      <w:tc>
        <w:tcPr>
          <w:tcW w:w="8188" w:type="dxa"/>
          <w:vAlign w:val="bottom"/>
        </w:tcPr>
        <w:p w14:paraId="7AD9B27F" w14:textId="760192A9" w:rsidR="00B02186" w:rsidRPr="00695708" w:rsidRDefault="00B02186" w:rsidP="00695708">
          <w:pPr>
            <w:pStyle w:val="Footer"/>
            <w:jc w:val="center"/>
            <w:rPr>
              <w:rFonts w:ascii="Times New Roman" w:hAnsi="Times New Roman" w:cs="Times New Roman"/>
              <w:sz w:val="22"/>
              <w:szCs w:val="20"/>
            </w:rPr>
          </w:pPr>
          <w:r w:rsidRPr="00695708">
            <w:rPr>
              <w:rFonts w:ascii="Times New Roman" w:hAnsi="Times New Roman" w:cs="Times New Roman"/>
              <w:i/>
              <w:sz w:val="22"/>
              <w:szCs w:val="20"/>
            </w:rPr>
            <w:t>Educação Matemática em Revista</w:t>
          </w:r>
          <w:r w:rsidRPr="00695708">
            <w:rPr>
              <w:rFonts w:ascii="Times New Roman" w:hAnsi="Times New Roman" w:cs="Times New Roman"/>
              <w:sz w:val="22"/>
              <w:szCs w:val="20"/>
            </w:rPr>
            <w:t>, Brasília, v. 1, n. 1, p.11-11, jan./mar. 2017.</w:t>
          </w:r>
        </w:p>
      </w:tc>
      <w:tc>
        <w:tcPr>
          <w:tcW w:w="733" w:type="dxa"/>
          <w:vAlign w:val="bottom"/>
        </w:tcPr>
        <w:p w14:paraId="0CA1A41B" w14:textId="0AA3968D" w:rsidR="00B02186" w:rsidRPr="00695708" w:rsidRDefault="00B02186" w:rsidP="009749DD">
          <w:pPr>
            <w:pStyle w:val="Footer"/>
            <w:jc w:val="center"/>
            <w:rPr>
              <w:rFonts w:ascii="Times New Roman" w:hAnsi="Times New Roman" w:cs="Times New Roman"/>
              <w:sz w:val="22"/>
              <w:szCs w:val="20"/>
            </w:rPr>
          </w:pPr>
          <w:r w:rsidRPr="00695708">
            <w:rPr>
              <w:rFonts w:ascii="Times New Roman" w:hAnsi="Times New Roman" w:cs="Times New Roman"/>
              <w:sz w:val="22"/>
              <w:szCs w:val="20"/>
            </w:rPr>
            <w:fldChar w:fldCharType="begin"/>
          </w:r>
          <w:r w:rsidRPr="00695708">
            <w:rPr>
              <w:rFonts w:ascii="Times New Roman" w:hAnsi="Times New Roman" w:cs="Times New Roman"/>
              <w:sz w:val="22"/>
              <w:szCs w:val="20"/>
            </w:rPr>
            <w:instrText>PAGE   \* MERGEFORMAT</w:instrText>
          </w:r>
          <w:r w:rsidRPr="00695708">
            <w:rPr>
              <w:rFonts w:ascii="Times New Roman" w:hAnsi="Times New Roman" w:cs="Times New Roman"/>
              <w:sz w:val="22"/>
              <w:szCs w:val="20"/>
            </w:rPr>
            <w:fldChar w:fldCharType="separate"/>
          </w:r>
          <w:r w:rsidR="002E1700">
            <w:rPr>
              <w:rFonts w:ascii="Times New Roman" w:hAnsi="Times New Roman" w:cs="Times New Roman"/>
              <w:noProof/>
              <w:sz w:val="22"/>
              <w:szCs w:val="20"/>
            </w:rPr>
            <w:t>4</w:t>
          </w:r>
          <w:r w:rsidRPr="00695708">
            <w:rPr>
              <w:rFonts w:ascii="Times New Roman" w:hAnsi="Times New Roman" w:cs="Times New Roman"/>
              <w:sz w:val="22"/>
              <w:szCs w:val="20"/>
            </w:rPr>
            <w:fldChar w:fldCharType="end"/>
          </w:r>
        </w:p>
      </w:tc>
    </w:tr>
  </w:tbl>
  <w:p w14:paraId="50180114" w14:textId="63AFC6CE" w:rsidR="00B02186" w:rsidRPr="00695708" w:rsidRDefault="00B02186" w:rsidP="00695708">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8F37A" w14:textId="77777777" w:rsidR="004C0CB5" w:rsidRDefault="004C0CB5" w:rsidP="008914B3">
      <w:r>
        <w:separator/>
      </w:r>
    </w:p>
  </w:footnote>
  <w:footnote w:type="continuationSeparator" w:id="0">
    <w:p w14:paraId="12B4F73F" w14:textId="77777777" w:rsidR="004C0CB5" w:rsidRDefault="004C0CB5" w:rsidP="008914B3">
      <w:r>
        <w:continuationSeparator/>
      </w:r>
    </w:p>
  </w:footnote>
  <w:footnote w:id="1">
    <w:p w14:paraId="285D2AFA" w14:textId="43768A07" w:rsidR="00B02186" w:rsidRPr="00C23ADC" w:rsidRDefault="00B02186">
      <w:pPr>
        <w:pStyle w:val="FootnoteText"/>
        <w:rPr>
          <w:rFonts w:ascii="Times New Roman" w:hAnsi="Times New Roman" w:cs="Times New Roman"/>
          <w:sz w:val="20"/>
          <w:szCs w:val="20"/>
          <w:lang w:val="en-US"/>
        </w:rPr>
      </w:pPr>
      <w:r w:rsidRPr="00F67353">
        <w:rPr>
          <w:rStyle w:val="FootnoteReference"/>
        </w:rPr>
        <w:footnoteRef/>
      </w:r>
      <w:r w:rsidRPr="00C23ADC">
        <w:rPr>
          <w:rFonts w:ascii="Times New Roman" w:hAnsi="Times New Roman" w:cs="Times New Roman"/>
          <w:sz w:val="20"/>
          <w:szCs w:val="20"/>
        </w:rPr>
        <w:t xml:space="preserve"> </w:t>
      </w:r>
      <w:r w:rsidRPr="000F7BCF">
        <w:rPr>
          <w:rFonts w:ascii="Times New Roman" w:hAnsi="Times New Roman" w:cs="Times New Roman"/>
          <w:sz w:val="20"/>
          <w:szCs w:val="20"/>
        </w:rPr>
        <w:t>Doutor em Linguística/UFRJ; Laboratório de Estudos do Discurso, Imagem e Som, Museu Nacional- UFRJ, Rio de Janeiro, Rio de Janeiro, Brasil. metaimagem@gmail.com</w:t>
      </w:r>
      <w:r w:rsidRPr="00C23ADC">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thinThickSmallGap" w:sz="18" w:space="0" w:color="0070C0"/>
        <w:right w:val="none" w:sz="0" w:space="0" w:color="auto"/>
        <w:insideH w:val="none" w:sz="0" w:space="0" w:color="auto"/>
        <w:insideV w:val="none" w:sz="0" w:space="0" w:color="auto"/>
      </w:tblBorders>
      <w:tblLook w:val="04A0" w:firstRow="1" w:lastRow="0" w:firstColumn="1" w:lastColumn="0" w:noHBand="0" w:noVBand="1"/>
    </w:tblPr>
    <w:tblGrid>
      <w:gridCol w:w="3787"/>
      <w:gridCol w:w="4994"/>
    </w:tblGrid>
    <w:tr w:rsidR="00B02186" w14:paraId="0D28A8C2" w14:textId="77777777" w:rsidTr="009749DD">
      <w:trPr>
        <w:trHeight w:val="794"/>
      </w:trPr>
      <w:tc>
        <w:tcPr>
          <w:tcW w:w="3794" w:type="dxa"/>
          <w:vAlign w:val="center"/>
        </w:tcPr>
        <w:p w14:paraId="3A873FB9" w14:textId="77777777" w:rsidR="00B02186" w:rsidRDefault="00B02186" w:rsidP="00695708">
          <w:pPr>
            <w:pStyle w:val="Header"/>
            <w:jc w:val="center"/>
            <w:rPr>
              <w:rFonts w:ascii="Times New Roman" w:hAnsi="Times New Roman" w:cs="Times New Roman"/>
            </w:rPr>
          </w:pPr>
          <w:r>
            <w:rPr>
              <w:noProof/>
              <w:lang w:eastAsia="pt-BR"/>
            </w:rPr>
            <w:drawing>
              <wp:inline distT="0" distB="0" distL="0" distR="0" wp14:anchorId="6BDEDA2A" wp14:editId="5F64663B">
                <wp:extent cx="2171700" cy="447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vetorizada.png"/>
                        <pic:cNvPicPr/>
                      </pic:nvPicPr>
                      <pic:blipFill rotWithShape="1">
                        <a:blip r:embed="rId1">
                          <a:extLst>
                            <a:ext uri="{28A0092B-C50C-407E-A947-70E740481C1C}">
                              <a14:useLocalDpi xmlns:a14="http://schemas.microsoft.com/office/drawing/2010/main" val="0"/>
                            </a:ext>
                          </a:extLst>
                        </a:blip>
                        <a:srcRect b="25711"/>
                        <a:stretch/>
                      </pic:blipFill>
                      <pic:spPr bwMode="auto">
                        <a:xfrm>
                          <a:off x="0" y="0"/>
                          <a:ext cx="2171700" cy="44767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5127" w:type="dxa"/>
          <w:vAlign w:val="center"/>
        </w:tcPr>
        <w:p w14:paraId="71A47059" w14:textId="77777777" w:rsidR="00B02186" w:rsidRPr="008914B3" w:rsidRDefault="00B02186" w:rsidP="00695708">
          <w:pPr>
            <w:pStyle w:val="Header"/>
            <w:jc w:val="center"/>
            <w:rPr>
              <w:rFonts w:ascii="Times New Roman" w:hAnsi="Times New Roman" w:cs="Times New Roman"/>
            </w:rPr>
          </w:pPr>
          <w:r w:rsidRPr="008914B3">
            <w:rPr>
              <w:rFonts w:ascii="Times New Roman" w:hAnsi="Times New Roman" w:cs="Times New Roman"/>
              <w:b/>
            </w:rPr>
            <w:t>EDUCAÇÃO MATEMÁTICA</w:t>
          </w:r>
          <w:r w:rsidRPr="008914B3">
            <w:rPr>
              <w:rFonts w:ascii="Times New Roman" w:hAnsi="Times New Roman" w:cs="Times New Roman"/>
            </w:rPr>
            <w:t xml:space="preserve"> em </w:t>
          </w:r>
          <w:r w:rsidRPr="008914B3">
            <w:rPr>
              <w:rFonts w:ascii="Times New Roman" w:hAnsi="Times New Roman" w:cs="Times New Roman"/>
              <w:i/>
            </w:rPr>
            <w:t>Revista</w:t>
          </w:r>
        </w:p>
        <w:p w14:paraId="4C7705DC" w14:textId="77777777" w:rsidR="00B02186" w:rsidRPr="00695708" w:rsidRDefault="00B02186" w:rsidP="00695708">
          <w:pPr>
            <w:jc w:val="center"/>
            <w:rPr>
              <w:sz w:val="20"/>
              <w:szCs w:val="20"/>
            </w:rPr>
          </w:pPr>
          <w:r w:rsidRPr="00B25F8F">
            <w:rPr>
              <w:rFonts w:ascii="Times New Roman" w:hAnsi="Times New Roman" w:cs="Times New Roman"/>
              <w:sz w:val="20"/>
              <w:szCs w:val="20"/>
            </w:rPr>
            <w:t>ISSN 2317-904X</w:t>
          </w:r>
        </w:p>
      </w:tc>
    </w:tr>
  </w:tbl>
  <w:p w14:paraId="29F08F0B" w14:textId="77777777" w:rsidR="00B02186" w:rsidRDefault="00B021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1E7F56"/>
    <w:multiLevelType w:val="hybridMultilevel"/>
    <w:tmpl w:val="9F9E18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4B3"/>
    <w:rsid w:val="00004A1A"/>
    <w:rsid w:val="0001066C"/>
    <w:rsid w:val="00011764"/>
    <w:rsid w:val="000228A6"/>
    <w:rsid w:val="00023427"/>
    <w:rsid w:val="000515A0"/>
    <w:rsid w:val="00054730"/>
    <w:rsid w:val="00077F6E"/>
    <w:rsid w:val="000B1A3C"/>
    <w:rsid w:val="000B3730"/>
    <w:rsid w:val="000C0B43"/>
    <w:rsid w:val="000E2C73"/>
    <w:rsid w:val="000F5249"/>
    <w:rsid w:val="000F7BCF"/>
    <w:rsid w:val="00101A7D"/>
    <w:rsid w:val="00121A95"/>
    <w:rsid w:val="001247D8"/>
    <w:rsid w:val="00127232"/>
    <w:rsid w:val="00135F77"/>
    <w:rsid w:val="00144D0D"/>
    <w:rsid w:val="0016077D"/>
    <w:rsid w:val="00163E7A"/>
    <w:rsid w:val="001649ED"/>
    <w:rsid w:val="001A4888"/>
    <w:rsid w:val="001B7EE6"/>
    <w:rsid w:val="001C5DF7"/>
    <w:rsid w:val="001D79E0"/>
    <w:rsid w:val="001F2CDF"/>
    <w:rsid w:val="001F6649"/>
    <w:rsid w:val="00244549"/>
    <w:rsid w:val="00265ADE"/>
    <w:rsid w:val="002830CB"/>
    <w:rsid w:val="00295D10"/>
    <w:rsid w:val="002C0C0E"/>
    <w:rsid w:val="002C52DE"/>
    <w:rsid w:val="002E1700"/>
    <w:rsid w:val="002F030A"/>
    <w:rsid w:val="00301352"/>
    <w:rsid w:val="00312194"/>
    <w:rsid w:val="00323618"/>
    <w:rsid w:val="00330FE7"/>
    <w:rsid w:val="003314CA"/>
    <w:rsid w:val="003845C9"/>
    <w:rsid w:val="00385653"/>
    <w:rsid w:val="003A7B48"/>
    <w:rsid w:val="003C19AF"/>
    <w:rsid w:val="003D13D6"/>
    <w:rsid w:val="00412C13"/>
    <w:rsid w:val="00415506"/>
    <w:rsid w:val="00417706"/>
    <w:rsid w:val="00420D36"/>
    <w:rsid w:val="00435CBC"/>
    <w:rsid w:val="0045267C"/>
    <w:rsid w:val="00495EA7"/>
    <w:rsid w:val="004B11D0"/>
    <w:rsid w:val="004C0CB5"/>
    <w:rsid w:val="004C4434"/>
    <w:rsid w:val="004D365E"/>
    <w:rsid w:val="004E5DEE"/>
    <w:rsid w:val="005164F5"/>
    <w:rsid w:val="00531166"/>
    <w:rsid w:val="00531BA9"/>
    <w:rsid w:val="005572D6"/>
    <w:rsid w:val="005731D7"/>
    <w:rsid w:val="005B321E"/>
    <w:rsid w:val="005C27B0"/>
    <w:rsid w:val="005C5234"/>
    <w:rsid w:val="005D4405"/>
    <w:rsid w:val="005E6489"/>
    <w:rsid w:val="005E6506"/>
    <w:rsid w:val="005E7DAA"/>
    <w:rsid w:val="0060678C"/>
    <w:rsid w:val="0061685B"/>
    <w:rsid w:val="006206F6"/>
    <w:rsid w:val="00624362"/>
    <w:rsid w:val="006314DB"/>
    <w:rsid w:val="00633C24"/>
    <w:rsid w:val="00643422"/>
    <w:rsid w:val="00680439"/>
    <w:rsid w:val="00695708"/>
    <w:rsid w:val="006B2044"/>
    <w:rsid w:val="006C2D2A"/>
    <w:rsid w:val="006C4C94"/>
    <w:rsid w:val="006D0314"/>
    <w:rsid w:val="006D2A98"/>
    <w:rsid w:val="006D60BD"/>
    <w:rsid w:val="006E5675"/>
    <w:rsid w:val="0070573D"/>
    <w:rsid w:val="00714072"/>
    <w:rsid w:val="00730CC3"/>
    <w:rsid w:val="00735F29"/>
    <w:rsid w:val="00755778"/>
    <w:rsid w:val="007613DB"/>
    <w:rsid w:val="007759ED"/>
    <w:rsid w:val="007D217C"/>
    <w:rsid w:val="00807436"/>
    <w:rsid w:val="008452A7"/>
    <w:rsid w:val="0084599A"/>
    <w:rsid w:val="00864DF2"/>
    <w:rsid w:val="00867751"/>
    <w:rsid w:val="00875F61"/>
    <w:rsid w:val="00881337"/>
    <w:rsid w:val="00884E96"/>
    <w:rsid w:val="008914B3"/>
    <w:rsid w:val="008A5574"/>
    <w:rsid w:val="008A6688"/>
    <w:rsid w:val="008B596B"/>
    <w:rsid w:val="009203EE"/>
    <w:rsid w:val="0092512A"/>
    <w:rsid w:val="00937448"/>
    <w:rsid w:val="00937511"/>
    <w:rsid w:val="00965555"/>
    <w:rsid w:val="00971D02"/>
    <w:rsid w:val="009749DD"/>
    <w:rsid w:val="009B0D10"/>
    <w:rsid w:val="009D681D"/>
    <w:rsid w:val="009E7731"/>
    <w:rsid w:val="00A104F4"/>
    <w:rsid w:val="00A10CF6"/>
    <w:rsid w:val="00A15B9C"/>
    <w:rsid w:val="00A20377"/>
    <w:rsid w:val="00A731E5"/>
    <w:rsid w:val="00A8618E"/>
    <w:rsid w:val="00AA6F1B"/>
    <w:rsid w:val="00AD3FCD"/>
    <w:rsid w:val="00AE6F9E"/>
    <w:rsid w:val="00B02186"/>
    <w:rsid w:val="00B057D0"/>
    <w:rsid w:val="00B160C4"/>
    <w:rsid w:val="00B17FBF"/>
    <w:rsid w:val="00B25F8F"/>
    <w:rsid w:val="00B26D0C"/>
    <w:rsid w:val="00B30A43"/>
    <w:rsid w:val="00B46575"/>
    <w:rsid w:val="00B5694D"/>
    <w:rsid w:val="00B62EAF"/>
    <w:rsid w:val="00B641C1"/>
    <w:rsid w:val="00B67616"/>
    <w:rsid w:val="00B70D15"/>
    <w:rsid w:val="00B72F08"/>
    <w:rsid w:val="00B73BA5"/>
    <w:rsid w:val="00B91E76"/>
    <w:rsid w:val="00BA42B0"/>
    <w:rsid w:val="00BF12A2"/>
    <w:rsid w:val="00C047D3"/>
    <w:rsid w:val="00C139BC"/>
    <w:rsid w:val="00C23ADC"/>
    <w:rsid w:val="00C4058D"/>
    <w:rsid w:val="00C73F87"/>
    <w:rsid w:val="00CA5CA1"/>
    <w:rsid w:val="00CB28C9"/>
    <w:rsid w:val="00CB44EC"/>
    <w:rsid w:val="00CC33B2"/>
    <w:rsid w:val="00CC5F0F"/>
    <w:rsid w:val="00CD2F3F"/>
    <w:rsid w:val="00CD376F"/>
    <w:rsid w:val="00D02048"/>
    <w:rsid w:val="00D17FF0"/>
    <w:rsid w:val="00D32329"/>
    <w:rsid w:val="00D540D3"/>
    <w:rsid w:val="00D5614D"/>
    <w:rsid w:val="00D6101A"/>
    <w:rsid w:val="00D73337"/>
    <w:rsid w:val="00DA178D"/>
    <w:rsid w:val="00DB16F4"/>
    <w:rsid w:val="00E50976"/>
    <w:rsid w:val="00E759E1"/>
    <w:rsid w:val="00EA509F"/>
    <w:rsid w:val="00EB0249"/>
    <w:rsid w:val="00EE7198"/>
    <w:rsid w:val="00EF457C"/>
    <w:rsid w:val="00F11C8A"/>
    <w:rsid w:val="00F13C07"/>
    <w:rsid w:val="00F6361F"/>
    <w:rsid w:val="00F67353"/>
    <w:rsid w:val="00F73ED0"/>
    <w:rsid w:val="00F94839"/>
    <w:rsid w:val="00FB031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EDFEAE"/>
  <w14:defaultImageDpi w14:val="300"/>
  <w15:docId w15:val="{8786D6B3-8A48-4CE8-989A-42A989283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4549"/>
    <w:pPr>
      <w:keepNext/>
      <w:jc w:val="both"/>
      <w:outlineLvl w:val="0"/>
    </w:pPr>
    <w:rPr>
      <w:rFonts w:ascii="Times New Roman" w:hAnsi="Times New Roman" w:cs="Times New Roman"/>
      <w:b/>
    </w:rPr>
  </w:style>
  <w:style w:type="paragraph" w:styleId="Heading2">
    <w:name w:val="heading 2"/>
    <w:basedOn w:val="Normal"/>
    <w:next w:val="Normal"/>
    <w:link w:val="Heading2Char"/>
    <w:uiPriority w:val="9"/>
    <w:unhideWhenUsed/>
    <w:qFormat/>
    <w:rsid w:val="00244549"/>
    <w:pPr>
      <w:keepNext/>
      <w:spacing w:after="160" w:line="360" w:lineRule="auto"/>
      <w:jc w:val="both"/>
      <w:outlineLvl w:val="1"/>
    </w:pPr>
    <w:rPr>
      <w:rFonts w:ascii="Times New Roman" w:eastAsiaTheme="minorHAnsi"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4B3"/>
    <w:pPr>
      <w:tabs>
        <w:tab w:val="center" w:pos="4320"/>
        <w:tab w:val="right" w:pos="8640"/>
      </w:tabs>
    </w:pPr>
  </w:style>
  <w:style w:type="character" w:customStyle="1" w:styleId="HeaderChar">
    <w:name w:val="Header Char"/>
    <w:basedOn w:val="DefaultParagraphFont"/>
    <w:link w:val="Header"/>
    <w:uiPriority w:val="99"/>
    <w:rsid w:val="008914B3"/>
  </w:style>
  <w:style w:type="paragraph" w:styleId="Footer">
    <w:name w:val="footer"/>
    <w:basedOn w:val="Normal"/>
    <w:link w:val="FooterChar"/>
    <w:uiPriority w:val="99"/>
    <w:unhideWhenUsed/>
    <w:rsid w:val="008914B3"/>
    <w:pPr>
      <w:tabs>
        <w:tab w:val="center" w:pos="4320"/>
        <w:tab w:val="right" w:pos="8640"/>
      </w:tabs>
    </w:pPr>
  </w:style>
  <w:style w:type="character" w:customStyle="1" w:styleId="FooterChar">
    <w:name w:val="Footer Char"/>
    <w:basedOn w:val="DefaultParagraphFont"/>
    <w:link w:val="Footer"/>
    <w:uiPriority w:val="99"/>
    <w:rsid w:val="008914B3"/>
  </w:style>
  <w:style w:type="paragraph" w:styleId="BalloonText">
    <w:name w:val="Balloon Text"/>
    <w:basedOn w:val="Normal"/>
    <w:link w:val="BalloonTextChar"/>
    <w:uiPriority w:val="99"/>
    <w:semiHidden/>
    <w:unhideWhenUsed/>
    <w:rsid w:val="008914B3"/>
    <w:rPr>
      <w:rFonts w:ascii="Lucida Grande" w:hAnsi="Lucida Grande"/>
      <w:sz w:val="18"/>
      <w:szCs w:val="18"/>
    </w:rPr>
  </w:style>
  <w:style w:type="character" w:customStyle="1" w:styleId="BalloonTextChar">
    <w:name w:val="Balloon Text Char"/>
    <w:basedOn w:val="DefaultParagraphFont"/>
    <w:link w:val="BalloonText"/>
    <w:uiPriority w:val="99"/>
    <w:semiHidden/>
    <w:rsid w:val="008914B3"/>
    <w:rPr>
      <w:rFonts w:ascii="Lucida Grande" w:hAnsi="Lucida Grande"/>
      <w:sz w:val="18"/>
      <w:szCs w:val="18"/>
    </w:rPr>
  </w:style>
  <w:style w:type="paragraph" w:styleId="FootnoteText">
    <w:name w:val="footnote text"/>
    <w:basedOn w:val="Normal"/>
    <w:link w:val="FootnoteTextChar"/>
    <w:uiPriority w:val="99"/>
    <w:unhideWhenUsed/>
    <w:rsid w:val="00C23ADC"/>
  </w:style>
  <w:style w:type="character" w:customStyle="1" w:styleId="FootnoteTextChar">
    <w:name w:val="Footnote Text Char"/>
    <w:basedOn w:val="DefaultParagraphFont"/>
    <w:link w:val="FootnoteText"/>
    <w:uiPriority w:val="99"/>
    <w:rsid w:val="00C23ADC"/>
  </w:style>
  <w:style w:type="character" w:styleId="FootnoteReference">
    <w:name w:val="footnote reference"/>
    <w:basedOn w:val="DefaultParagraphFont"/>
    <w:uiPriority w:val="99"/>
    <w:unhideWhenUsed/>
    <w:rsid w:val="00C23ADC"/>
    <w:rPr>
      <w:vertAlign w:val="superscript"/>
    </w:rPr>
  </w:style>
  <w:style w:type="table" w:styleId="TableGrid">
    <w:name w:val="Table Grid"/>
    <w:basedOn w:val="TableNormal"/>
    <w:uiPriority w:val="39"/>
    <w:rsid w:val="006957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uiPriority w:val="99"/>
    <w:semiHidden/>
    <w:unhideWhenUsed/>
    <w:rsid w:val="00244549"/>
    <w:rPr>
      <w:vertAlign w:val="superscript"/>
    </w:rPr>
  </w:style>
  <w:style w:type="character" w:customStyle="1" w:styleId="Heading1Char">
    <w:name w:val="Heading 1 Char"/>
    <w:basedOn w:val="DefaultParagraphFont"/>
    <w:link w:val="Heading1"/>
    <w:uiPriority w:val="9"/>
    <w:rsid w:val="00244549"/>
    <w:rPr>
      <w:rFonts w:ascii="Times New Roman" w:hAnsi="Times New Roman" w:cs="Times New Roman"/>
      <w:b/>
    </w:rPr>
  </w:style>
  <w:style w:type="character" w:customStyle="1" w:styleId="Heading2Char">
    <w:name w:val="Heading 2 Char"/>
    <w:basedOn w:val="DefaultParagraphFont"/>
    <w:link w:val="Heading2"/>
    <w:uiPriority w:val="9"/>
    <w:rsid w:val="00244549"/>
    <w:rPr>
      <w:rFonts w:ascii="Times New Roman" w:eastAsiaTheme="minorHAnsi" w:hAnsi="Times New Roman" w:cs="Times New Roman"/>
      <w:b/>
    </w:rPr>
  </w:style>
  <w:style w:type="paragraph" w:styleId="BodyText">
    <w:name w:val="Body Text"/>
    <w:basedOn w:val="Normal"/>
    <w:link w:val="BodyTextChar"/>
    <w:uiPriority w:val="99"/>
    <w:unhideWhenUsed/>
    <w:rsid w:val="00244549"/>
    <w:pPr>
      <w:spacing w:after="160" w:line="360" w:lineRule="auto"/>
      <w:jc w:val="both"/>
    </w:pPr>
    <w:rPr>
      <w:rFonts w:eastAsiaTheme="minorHAnsi"/>
    </w:rPr>
  </w:style>
  <w:style w:type="character" w:customStyle="1" w:styleId="BodyTextChar">
    <w:name w:val="Body Text Char"/>
    <w:basedOn w:val="DefaultParagraphFont"/>
    <w:link w:val="BodyText"/>
    <w:uiPriority w:val="99"/>
    <w:rsid w:val="00244549"/>
    <w:rPr>
      <w:rFonts w:eastAsiaTheme="minorHAnsi"/>
    </w:rPr>
  </w:style>
  <w:style w:type="paragraph" w:styleId="ListParagraph">
    <w:name w:val="List Paragraph"/>
    <w:basedOn w:val="Normal"/>
    <w:uiPriority w:val="34"/>
    <w:qFormat/>
    <w:rsid w:val="00244549"/>
    <w:pPr>
      <w:spacing w:after="160" w:line="259" w:lineRule="auto"/>
      <w:ind w:left="720"/>
      <w:contextualSpacing/>
      <w:jc w:val="both"/>
    </w:pPr>
    <w:rPr>
      <w:rFonts w:eastAsiaTheme="minorHAnsi"/>
      <w:sz w:val="22"/>
      <w:szCs w:val="22"/>
    </w:rPr>
  </w:style>
  <w:style w:type="paragraph" w:styleId="BodyText3">
    <w:name w:val="Body Text 3"/>
    <w:basedOn w:val="Normal"/>
    <w:link w:val="BodyText3Char"/>
    <w:uiPriority w:val="99"/>
    <w:semiHidden/>
    <w:unhideWhenUsed/>
    <w:rsid w:val="00244549"/>
    <w:pPr>
      <w:spacing w:after="120" w:line="259" w:lineRule="auto"/>
      <w:jc w:val="both"/>
    </w:pPr>
    <w:rPr>
      <w:rFonts w:eastAsiaTheme="minorHAnsi"/>
      <w:sz w:val="16"/>
      <w:szCs w:val="16"/>
    </w:rPr>
  </w:style>
  <w:style w:type="character" w:customStyle="1" w:styleId="BodyText3Char">
    <w:name w:val="Body Text 3 Char"/>
    <w:basedOn w:val="DefaultParagraphFont"/>
    <w:link w:val="BodyText3"/>
    <w:uiPriority w:val="99"/>
    <w:semiHidden/>
    <w:rsid w:val="00244549"/>
    <w:rPr>
      <w:rFonts w:eastAsiaTheme="minorHAnsi"/>
      <w:sz w:val="16"/>
      <w:szCs w:val="16"/>
    </w:rPr>
  </w:style>
  <w:style w:type="table" w:customStyle="1" w:styleId="TableGrid1">
    <w:name w:val="Table Grid1"/>
    <w:basedOn w:val="TableNormal"/>
    <w:next w:val="TableGrid"/>
    <w:uiPriority w:val="39"/>
    <w:rsid w:val="00244549"/>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44549"/>
  </w:style>
  <w:style w:type="character" w:styleId="CommentReference">
    <w:name w:val="annotation reference"/>
    <w:basedOn w:val="DefaultParagraphFont"/>
    <w:uiPriority w:val="99"/>
    <w:semiHidden/>
    <w:unhideWhenUsed/>
    <w:rsid w:val="00244549"/>
    <w:rPr>
      <w:sz w:val="16"/>
      <w:szCs w:val="16"/>
    </w:rPr>
  </w:style>
  <w:style w:type="paragraph" w:styleId="CommentText">
    <w:name w:val="annotation text"/>
    <w:basedOn w:val="Normal"/>
    <w:link w:val="CommentTextChar"/>
    <w:uiPriority w:val="99"/>
    <w:semiHidden/>
    <w:unhideWhenUsed/>
    <w:rsid w:val="00244549"/>
    <w:pPr>
      <w:spacing w:after="160"/>
      <w:jc w:val="both"/>
    </w:pPr>
    <w:rPr>
      <w:rFonts w:eastAsiaTheme="minorHAnsi"/>
      <w:sz w:val="20"/>
      <w:szCs w:val="20"/>
    </w:rPr>
  </w:style>
  <w:style w:type="character" w:customStyle="1" w:styleId="CommentTextChar">
    <w:name w:val="Comment Text Char"/>
    <w:basedOn w:val="DefaultParagraphFont"/>
    <w:link w:val="CommentText"/>
    <w:uiPriority w:val="99"/>
    <w:semiHidden/>
    <w:rsid w:val="00244549"/>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244549"/>
    <w:rPr>
      <w:b/>
      <w:bCs/>
    </w:rPr>
  </w:style>
  <w:style w:type="character" w:customStyle="1" w:styleId="CommentSubjectChar">
    <w:name w:val="Comment Subject Char"/>
    <w:basedOn w:val="CommentTextChar"/>
    <w:link w:val="CommentSubject"/>
    <w:uiPriority w:val="99"/>
    <w:semiHidden/>
    <w:rsid w:val="00244549"/>
    <w:rPr>
      <w:rFonts w:eastAsiaTheme="minorHAnsi"/>
      <w:b/>
      <w:bCs/>
      <w:sz w:val="20"/>
      <w:szCs w:val="20"/>
    </w:rPr>
  </w:style>
  <w:style w:type="paragraph" w:styleId="BodyTextIndent">
    <w:name w:val="Body Text Indent"/>
    <w:basedOn w:val="Normal"/>
    <w:link w:val="BodyTextIndentChar"/>
    <w:uiPriority w:val="99"/>
    <w:unhideWhenUsed/>
    <w:rsid w:val="00244549"/>
    <w:pPr>
      <w:spacing w:line="360" w:lineRule="auto"/>
      <w:ind w:firstLine="567"/>
      <w:jc w:val="both"/>
    </w:pPr>
    <w:rPr>
      <w:rFonts w:ascii="Times New Roman" w:eastAsiaTheme="minorHAnsi" w:hAnsi="Times New Roman" w:cs="Times New Roman"/>
    </w:rPr>
  </w:style>
  <w:style w:type="character" w:customStyle="1" w:styleId="BodyTextIndentChar">
    <w:name w:val="Body Text Indent Char"/>
    <w:basedOn w:val="DefaultParagraphFont"/>
    <w:link w:val="BodyTextIndent"/>
    <w:uiPriority w:val="99"/>
    <w:rsid w:val="00244549"/>
    <w:rPr>
      <w:rFonts w:ascii="Times New Roman" w:eastAsiaTheme="minorHAnsi" w:hAnsi="Times New Roman" w:cs="Times New Roman"/>
    </w:rPr>
  </w:style>
  <w:style w:type="paragraph" w:styleId="Revision">
    <w:name w:val="Revision"/>
    <w:hidden/>
    <w:uiPriority w:val="99"/>
    <w:semiHidden/>
    <w:rsid w:val="00244549"/>
    <w:rPr>
      <w:rFonts w:eastAsiaTheme="minorHAnsi"/>
      <w:sz w:val="22"/>
      <w:szCs w:val="22"/>
    </w:rPr>
  </w:style>
  <w:style w:type="paragraph" w:styleId="BodyTextIndent2">
    <w:name w:val="Body Text Indent 2"/>
    <w:basedOn w:val="Normal"/>
    <w:link w:val="BodyTextIndent2Char"/>
    <w:uiPriority w:val="99"/>
    <w:unhideWhenUsed/>
    <w:rsid w:val="00643422"/>
    <w:pPr>
      <w:spacing w:line="360" w:lineRule="auto"/>
      <w:ind w:firstLine="567"/>
      <w:jc w:val="both"/>
    </w:pPr>
    <w:rPr>
      <w:rFonts w:ascii="Times New Roman" w:eastAsia="Calibri" w:hAnsi="Times New Roman" w:cs="Times New Roman"/>
      <w:color w:val="000000" w:themeColor="text1"/>
    </w:rPr>
  </w:style>
  <w:style w:type="character" w:customStyle="1" w:styleId="BodyTextIndent2Char">
    <w:name w:val="Body Text Indent 2 Char"/>
    <w:basedOn w:val="DefaultParagraphFont"/>
    <w:link w:val="BodyTextIndent2"/>
    <w:uiPriority w:val="99"/>
    <w:rsid w:val="00643422"/>
    <w:rPr>
      <w:rFonts w:ascii="Times New Roman" w:eastAsia="Calibri" w:hAnsi="Times New Roman" w:cs="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C9CED-BA30-422E-90AA-6A1A29BF3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21746</Words>
  <Characters>117434</Characters>
  <Application>Microsoft Office Word</Application>
  <DocSecurity>0</DocSecurity>
  <Lines>978</Lines>
  <Paragraphs>277</Paragraphs>
  <ScaleCrop>false</ScaleCrop>
  <HeadingPairs>
    <vt:vector size="6" baseType="variant">
      <vt:variant>
        <vt:lpstr>Title</vt:lpstr>
      </vt:variant>
      <vt:variant>
        <vt:i4>1</vt:i4>
      </vt:variant>
      <vt:variant>
        <vt:lpstr>Headings</vt:lpstr>
      </vt:variant>
      <vt:variant>
        <vt:i4>5</vt:i4>
      </vt:variant>
      <vt:variant>
        <vt:lpstr>Título</vt:lpstr>
      </vt:variant>
      <vt:variant>
        <vt:i4>1</vt:i4>
      </vt:variant>
    </vt:vector>
  </HeadingPairs>
  <TitlesOfParts>
    <vt:vector size="7" baseType="lpstr">
      <vt:lpstr/>
      <vt:lpstr>Resumo</vt:lpstr>
      <vt:lpstr>Introdução</vt:lpstr>
      <vt:lpstr>Etnomatemática e Cultura</vt:lpstr>
      <vt:lpstr>Etnomatemática e Linguagem</vt:lpstr>
      <vt:lpstr>Etnomatemática e Tecnologia</vt:lpstr>
      <vt:lpstr/>
    </vt:vector>
  </TitlesOfParts>
  <Company/>
  <LinksUpToDate>false</LinksUpToDate>
  <CharactersWithSpaces>138903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Reginaldo Carneiro</dc:creator>
  <cp:keywords/>
  <dc:description/>
  <cp:lastModifiedBy>metaimagem</cp:lastModifiedBy>
  <cp:revision>2</cp:revision>
  <cp:lastPrinted>2018-09-08T20:51:00Z</cp:lastPrinted>
  <dcterms:created xsi:type="dcterms:W3CDTF">2018-09-10T19:08:00Z</dcterms:created>
  <dcterms:modified xsi:type="dcterms:W3CDTF">2018-09-10T19:08:00Z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metaimagem@gmail.com@www.mendeley.com</vt:lpwstr>
  </property>
  <property fmtid="{D5CDD505-2E9C-101B-9397-08002B2CF9AE}" pid="4" name="Mendeley Citation Style_1">
    <vt:lpwstr>http://www.zotero.org/styles/ABNT</vt:lpwstr>
  </property>
  <property fmtid="{D5CDD505-2E9C-101B-9397-08002B2CF9AE}" pid="5" name="Mendeley Recent Style Id 0_1">
    <vt:lpwstr>http://www.zotero.org/styles/ABNT</vt:lpwstr>
  </property>
  <property fmtid="{D5CDD505-2E9C-101B-9397-08002B2CF9AE}" pid="6" name="Mendeley Recent Style Name 0_1">
    <vt:lpwstr>ABNT (UFPR)</vt:lpwstr>
  </property>
  <property fmtid="{D5CDD505-2E9C-101B-9397-08002B2CF9AE}" pid="7" name="Mendeley Recent Style Id 1_1">
    <vt:lpwstr>http://abnt_numerico</vt:lpwstr>
  </property>
  <property fmtid="{D5CDD505-2E9C-101B-9397-08002B2CF9AE}" pid="8" name="Mendeley Recent Style Name 1_1">
    <vt:lpwstr>ABNT_Numerico</vt:lpwstr>
  </property>
  <property fmtid="{D5CDD505-2E9C-101B-9397-08002B2CF9AE}" pid="9" name="Mendeley Recent Style Id 2_1">
    <vt:lpwstr>http://www.zotero.org/styles/american-medical-association</vt:lpwstr>
  </property>
  <property fmtid="{D5CDD505-2E9C-101B-9397-08002B2CF9AE}" pid="10" name="Mendeley Recent Style Name 2_1">
    <vt:lpwstr>American Medical Association</vt:lpwstr>
  </property>
  <property fmtid="{D5CDD505-2E9C-101B-9397-08002B2CF9AE}" pid="11" name="Mendeley Recent Style Id 3_1">
    <vt:lpwstr>http://www.zotero.org/styles/american-political-science-association</vt:lpwstr>
  </property>
  <property fmtid="{D5CDD505-2E9C-101B-9397-08002B2CF9AE}" pid="12" name="Mendeley Recent Style Name 3_1">
    <vt:lpwstr>American Political Science Association</vt:lpwstr>
  </property>
  <property fmtid="{D5CDD505-2E9C-101B-9397-08002B2CF9AE}" pid="13" name="Mendeley Recent Style Id 4_1">
    <vt:lpwstr>http://www.zotero.org/styles/apa</vt:lpwstr>
  </property>
  <property fmtid="{D5CDD505-2E9C-101B-9397-08002B2CF9AE}" pid="14" name="Mendeley Recent Style Name 4_1">
    <vt:lpwstr>American Psychological Association 6th edition</vt:lpwstr>
  </property>
  <property fmtid="{D5CDD505-2E9C-101B-9397-08002B2CF9AE}" pid="15" name="Mendeley Recent Style Id 5_1">
    <vt:lpwstr>http://www.zotero.org/styles/american-sociological-association</vt:lpwstr>
  </property>
  <property fmtid="{D5CDD505-2E9C-101B-9397-08002B2CF9AE}" pid="16" name="Mendeley Recent Style Name 5_1">
    <vt:lpwstr>American Sociological Association</vt:lpwstr>
  </property>
  <property fmtid="{D5CDD505-2E9C-101B-9397-08002B2CF9AE}" pid="17" name="Mendeley Recent Style Id 6_1">
    <vt:lpwstr>http://www.zotero.org/styles/chicago-author-date</vt:lpwstr>
  </property>
  <property fmtid="{D5CDD505-2E9C-101B-9397-08002B2CF9AE}" pid="18" name="Mendeley Recent Style Name 6_1">
    <vt:lpwstr>Chicago Manual of Style 16th edition (author-date)</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(author-date)</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